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8BDF" w14:textId="77777777" w:rsidR="00E445E5" w:rsidRDefault="002175C0" w:rsidP="00E445E5">
      <w:pPr>
        <w:ind w:left="1560"/>
        <w:jc w:val="both"/>
        <w:rPr>
          <w:i/>
          <w:sz w:val="25"/>
          <w:szCs w:val="25"/>
        </w:rPr>
      </w:pPr>
      <w:r w:rsidRPr="00622326">
        <w:rPr>
          <w:i/>
          <w:sz w:val="25"/>
          <w:szCs w:val="25"/>
        </w:rPr>
        <w:t xml:space="preserve">  </w:t>
      </w:r>
      <w:r w:rsidR="00E445E5">
        <w:rPr>
          <w:i/>
          <w:sz w:val="25"/>
          <w:szCs w:val="25"/>
        </w:rPr>
        <w:t>Comunicato stampa</w:t>
      </w:r>
    </w:p>
    <w:p w14:paraId="0C05B010" w14:textId="77777777" w:rsidR="00E445E5" w:rsidRDefault="00E445E5" w:rsidP="00E445E5">
      <w:pPr>
        <w:ind w:left="1560"/>
        <w:jc w:val="both"/>
        <w:rPr>
          <w:i/>
          <w:sz w:val="25"/>
          <w:szCs w:val="25"/>
        </w:rPr>
      </w:pPr>
    </w:p>
    <w:p w14:paraId="3B9C9249" w14:textId="62166D32" w:rsidR="00F950C0" w:rsidRDefault="00F950C0" w:rsidP="00F950C0">
      <w:pPr>
        <w:ind w:left="1701"/>
        <w:jc w:val="both"/>
        <w:rPr>
          <w:b/>
          <w:bCs/>
          <w:sz w:val="28"/>
          <w:szCs w:val="28"/>
        </w:rPr>
      </w:pPr>
      <w:r w:rsidRPr="00784F10">
        <w:rPr>
          <w:b/>
          <w:bCs/>
          <w:sz w:val="28"/>
          <w:szCs w:val="28"/>
        </w:rPr>
        <w:t>Macchine per il gardening: buoni livelli di mercato nel 2022</w:t>
      </w:r>
    </w:p>
    <w:p w14:paraId="0FE9A24C" w14:textId="77777777" w:rsidR="00F950C0" w:rsidRPr="00784F10" w:rsidRDefault="00F950C0" w:rsidP="00F950C0">
      <w:pPr>
        <w:ind w:left="1701"/>
        <w:jc w:val="both"/>
        <w:rPr>
          <w:b/>
          <w:bCs/>
          <w:sz w:val="28"/>
          <w:szCs w:val="28"/>
        </w:rPr>
      </w:pPr>
    </w:p>
    <w:p w14:paraId="00A4BD5C" w14:textId="51C840AD" w:rsidR="00F950C0" w:rsidRDefault="00F950C0" w:rsidP="00F950C0">
      <w:pPr>
        <w:ind w:left="1701"/>
        <w:jc w:val="both"/>
        <w:rPr>
          <w:b/>
          <w:bCs/>
          <w:i/>
          <w:iCs/>
        </w:rPr>
      </w:pPr>
      <w:r w:rsidRPr="00784F10">
        <w:rPr>
          <w:b/>
          <w:bCs/>
          <w:i/>
          <w:iCs/>
        </w:rPr>
        <w:t>I dati sulle vendite di macchine e attrezzature per il giardinaggio e la cura del verde indicano nei primi tre mesi dell’anno una flessione (-7,4%) fisiologica dopo la crescita record registrata nel 2021. Le variabili legate all’andamento meteorologico e alle forniture di materie prime industriali possono influenzare il mercato nei mesi prossimi, anche se le previsioni per fine anno indicano volumi di vendita ancora elevati.</w:t>
      </w:r>
    </w:p>
    <w:p w14:paraId="0A65FC93" w14:textId="77777777" w:rsidR="00F950C0" w:rsidRPr="00784F10" w:rsidRDefault="00F950C0" w:rsidP="00F950C0">
      <w:pPr>
        <w:ind w:left="1701"/>
        <w:jc w:val="both"/>
        <w:rPr>
          <w:b/>
          <w:bCs/>
          <w:i/>
          <w:iCs/>
        </w:rPr>
      </w:pPr>
    </w:p>
    <w:p w14:paraId="4B0126CC" w14:textId="37F7148C" w:rsidR="00F950C0" w:rsidRPr="00784F10" w:rsidRDefault="00F950C0" w:rsidP="00F950C0">
      <w:pPr>
        <w:ind w:left="1701"/>
        <w:jc w:val="both"/>
      </w:pPr>
      <w:r w:rsidRPr="00784F10">
        <w:t xml:space="preserve">Il mercato italiano delle macchine per il giardinaggio e la cura del verde si conferma su buoni livelli anche nei primi mesi dell’anno in corso. Dopo aver archiviato il 2021 con un incremento del 14% (1.660.000 mezzi complessivamente venduti fra quelli a motore e quelli manuali) e con un andamento particolarmente brillante per quasi tutte le tipologie, nei primi tre mesi del 2021 il settore registra un calo di pochi punti percentuali e mantenendo volumi elevati. Il computo delle vendite - realizzato dall’Associazione dei costruttori Comagarden </w:t>
      </w:r>
      <w:r>
        <w:t xml:space="preserve">(FederUnacoma) </w:t>
      </w:r>
      <w:r w:rsidRPr="00784F10">
        <w:t>e dal gruppo di rilevamento statistico Morgan - indica nel periodo gennaio-marzo una flessione del 7,4% rispetto allo stesso periodo 2021, un passivo che l’Associazione valuta come fisiologico a fronte dell’imponente incremento (+39,4%) che si era appunto registrato nel primo trimestre dello scorso anno. Esaminando i dati del trimestre 2022 – è stato spiegato questa mattina a Foggia da</w:t>
      </w:r>
      <w:r>
        <w:t xml:space="preserve"> Federica Tugnoli, Segretario Operativo di </w:t>
      </w:r>
      <w:r w:rsidRPr="00784F10">
        <w:t>Comagarden</w:t>
      </w:r>
      <w:r>
        <w:t xml:space="preserve">, </w:t>
      </w:r>
      <w:r w:rsidRPr="00784F10">
        <w:t>nel corso di una conferenza stampa organizzata in occasione della manifestazione dimostrativa di “Demo Green” presso i Vivai Ricciotti - si notano flessioni lievi per le principali tipologie, vedi i decespugliatori</w:t>
      </w:r>
      <w:r>
        <w:t>,</w:t>
      </w:r>
      <w:r w:rsidRPr="00784F10">
        <w:t xml:space="preserve"> che perdono appena 2,7 punti percentuali sull’anno precedente, le motoseghe che perdono il 5,4% e i rasaerba che calano dell’8,1%. I soffiatori/aspiratori segnano invece un calo dell’11,1%, le tagliasiepi un calo del 17,1% e i trattorini del 13,1%, un passivo quest’ultimo di poco superiore a quello registrato per i trimmer (-11,9%). Fra le tipologie di mezzi che evidenziano cali più consistenti si segnalano gli atomizzatori/irroratori (-29,3%) e gli spazzaneve (-22,3%), mentre in controtendenza risultano le forbici da prato, che crescono del 27,8%, le potatrici ad asta (+13,2%) e gli zero turn professionali (+8,5%). In questo contesto le tipologie di mezzi con propulsione a batteria confermano il buon andamento degli ultimi anni, ed anche nel primo trimestre 2022 mostrano una dinamica positiva: se tagliasiepi, soffiatori/aspiratori e rasaerba a batteria segnano un passivo contenuto (rispettivamente del 10,6%, del 4% e del 2,6%), tutte le altre tipologie del segmento (trimmers, potatrici ad asta, motoseghe, decespugliatori e forbici da prato) registrano incrementi consistenti, compresi fra l’11 e il 28%. Analizzando gli elementi che influenzano le vendite sul mercato nazionale, il </w:t>
      </w:r>
      <w:r>
        <w:t xml:space="preserve">Segretario di Comagarden </w:t>
      </w:r>
      <w:r w:rsidRPr="00784F10">
        <w:t xml:space="preserve">ha indicato innanzitutto la variabile meteorologica. “La stagione è stata anomala in quanto ha visto il prolungarsi del freddo anche nelle prime settimane di primavera </w:t>
      </w:r>
      <w:r w:rsidR="008E1807">
        <w:t xml:space="preserve">- </w:t>
      </w:r>
      <w:r w:rsidRPr="00784F10">
        <w:t xml:space="preserve"> ha detto </w:t>
      </w:r>
      <w:r>
        <w:t xml:space="preserve">Federica Tugnoli - </w:t>
      </w:r>
      <w:r w:rsidRPr="00784F10">
        <w:t xml:space="preserve">e continua ad esserlo a causa della mancanza di precipitazioni piovose; la combinazione dei due fattori produce un rallentamento dell’attività vegetativa delle piante e quindi un ritardo nelle operazioni di manutenzione che si riflette sull’acquisto di macchinari specifici”.  Ma sull’andamento del mercato influiscono anche fattori relativi alle dinamiche della filiera produttiva e commerciale, vedi in particolare il rallentamento della produzione dovuto alla carenza di materie plastiche e ferrose per la fabbricazione delle macchine e l’aumento imponente del costo dell’energia, che comportano un ritardo </w:t>
      </w:r>
      <w:r w:rsidRPr="00784F10">
        <w:lastRenderedPageBreak/>
        <w:t xml:space="preserve">nei tempi di consegna, e che hanno già causato l’esaurimento delle scorte di magazzino per alcune tipologie di mezzi. Il problema relativo alle forniture per l’industria di settore </w:t>
      </w:r>
      <w:r w:rsidR="008E1807">
        <w:t>-</w:t>
      </w:r>
      <w:r w:rsidRPr="00784F10">
        <w:t xml:space="preserve"> </w:t>
      </w:r>
      <w:r>
        <w:t xml:space="preserve">è stato spiegato nel corso della conferenza - </w:t>
      </w:r>
      <w:r w:rsidRPr="00784F10">
        <w:t xml:space="preserve">è una variabile destinata a pesare per buona parte dell’anno: i costi energetici restano molto elevati e altrettanto critico appare il fronte delle materie prime. “Il rischio – ha concluso </w:t>
      </w:r>
      <w:r>
        <w:t xml:space="preserve">Tugnoli </w:t>
      </w:r>
      <w:r w:rsidRPr="00784F10">
        <w:t xml:space="preserve">– è che il lievitare dei costi di produzione comporti un aumento dei listini, un fattore che può scoraggiare soprattutto il </w:t>
      </w:r>
      <w:r>
        <w:t xml:space="preserve">pubblico </w:t>
      </w:r>
      <w:r w:rsidRPr="00784F10">
        <w:t>dei privati e degli hobbisti, che in epoca di lockdown aveva riscoperto la cura del verde e che potrebbe in parte rivolgersi verso nuovi poli d’interesse”. Al di là delle possibili oscillazioni, non sono comunque attesi scossoni per l’anno in corso. Sulla base dei monitoraggi di settore Comagarden prevede un consuntivo 2022 ancora buono per quanto riguarda i volumi di vendita. Le proiezioni indicano per fine anno un calo non superiore al 5,4% in ragione di circa 1.570.000 unità complessivamente vendute, un quantitativo comunque maggiore rispetto a quello registrato nell’anno 2020 e rispetto anche alla media degli anni precedenti.</w:t>
      </w:r>
    </w:p>
    <w:p w14:paraId="6AA6B48A" w14:textId="063A38AE" w:rsidR="00B847F6" w:rsidRPr="00622326" w:rsidRDefault="00B847F6" w:rsidP="00F950C0">
      <w:pPr>
        <w:ind w:left="1560"/>
        <w:jc w:val="both"/>
        <w:rPr>
          <w:b/>
          <w:sz w:val="25"/>
          <w:szCs w:val="25"/>
        </w:rPr>
      </w:pPr>
    </w:p>
    <w:p w14:paraId="0D0ED72D" w14:textId="7E81691C" w:rsidR="00A777B8" w:rsidRDefault="0073178F" w:rsidP="0073178F">
      <w:pPr>
        <w:spacing w:after="160" w:line="259" w:lineRule="auto"/>
        <w:jc w:val="both"/>
        <w:rPr>
          <w:b/>
          <w:sz w:val="25"/>
          <w:szCs w:val="25"/>
        </w:rPr>
      </w:pPr>
      <w:r>
        <w:rPr>
          <w:b/>
          <w:sz w:val="25"/>
          <w:szCs w:val="25"/>
        </w:rPr>
        <w:t xml:space="preserve">                           </w:t>
      </w:r>
      <w:r w:rsidR="00F950C0">
        <w:rPr>
          <w:b/>
          <w:sz w:val="25"/>
          <w:szCs w:val="25"/>
        </w:rPr>
        <w:t>Foggia</w:t>
      </w:r>
      <w:r w:rsidR="00776788" w:rsidRPr="00622326">
        <w:rPr>
          <w:b/>
          <w:sz w:val="25"/>
          <w:szCs w:val="25"/>
        </w:rPr>
        <w:t xml:space="preserve">, </w:t>
      </w:r>
      <w:r w:rsidR="00F950C0">
        <w:rPr>
          <w:b/>
          <w:sz w:val="25"/>
          <w:szCs w:val="25"/>
        </w:rPr>
        <w:t xml:space="preserve">16 </w:t>
      </w:r>
      <w:r w:rsidR="00776788" w:rsidRPr="00622326">
        <w:rPr>
          <w:b/>
          <w:sz w:val="25"/>
          <w:szCs w:val="25"/>
        </w:rPr>
        <w:t xml:space="preserve"> </w:t>
      </w:r>
      <w:r w:rsidR="00E445E5">
        <w:rPr>
          <w:b/>
          <w:sz w:val="25"/>
          <w:szCs w:val="25"/>
        </w:rPr>
        <w:t>ma</w:t>
      </w:r>
      <w:r w:rsidR="00F950C0">
        <w:rPr>
          <w:b/>
          <w:sz w:val="25"/>
          <w:szCs w:val="25"/>
        </w:rPr>
        <w:t>ggio</w:t>
      </w:r>
      <w:r w:rsidR="00776788" w:rsidRPr="00622326">
        <w:rPr>
          <w:b/>
          <w:sz w:val="25"/>
          <w:szCs w:val="25"/>
        </w:rPr>
        <w:t xml:space="preserve"> 202</w:t>
      </w:r>
      <w:r>
        <w:rPr>
          <w:b/>
          <w:sz w:val="25"/>
          <w:szCs w:val="25"/>
        </w:rPr>
        <w:t>2</w:t>
      </w:r>
    </w:p>
    <w:p w14:paraId="285C01AB" w14:textId="6CB8C3C7" w:rsidR="00015779" w:rsidRDefault="00015779" w:rsidP="0073178F">
      <w:pPr>
        <w:spacing w:after="160" w:line="259" w:lineRule="auto"/>
        <w:jc w:val="both"/>
        <w:rPr>
          <w:b/>
          <w:sz w:val="25"/>
          <w:szCs w:val="25"/>
        </w:rPr>
      </w:pPr>
    </w:p>
    <w:p w14:paraId="073B8E26" w14:textId="12C90E2A" w:rsidR="00015779" w:rsidRDefault="00015779" w:rsidP="0073178F">
      <w:pPr>
        <w:spacing w:after="160" w:line="259" w:lineRule="auto"/>
        <w:jc w:val="both"/>
        <w:rPr>
          <w:b/>
          <w:sz w:val="25"/>
          <w:szCs w:val="25"/>
        </w:rPr>
      </w:pPr>
    </w:p>
    <w:p w14:paraId="46312A3D" w14:textId="672E3CDA" w:rsidR="00015779" w:rsidRDefault="00015779" w:rsidP="0073178F">
      <w:pPr>
        <w:spacing w:after="160" w:line="259" w:lineRule="auto"/>
        <w:jc w:val="both"/>
        <w:rPr>
          <w:b/>
          <w:sz w:val="25"/>
          <w:szCs w:val="25"/>
        </w:rPr>
      </w:pPr>
    </w:p>
    <w:p w14:paraId="73E1571A" w14:textId="26D76D78" w:rsidR="00015779" w:rsidRDefault="00015779" w:rsidP="0073178F">
      <w:pPr>
        <w:spacing w:after="160" w:line="259" w:lineRule="auto"/>
        <w:jc w:val="both"/>
        <w:rPr>
          <w:b/>
          <w:sz w:val="25"/>
          <w:szCs w:val="25"/>
        </w:rPr>
      </w:pPr>
    </w:p>
    <w:p w14:paraId="318F5329" w14:textId="62761912" w:rsidR="00015779" w:rsidRDefault="00015779" w:rsidP="0073178F">
      <w:pPr>
        <w:spacing w:after="160" w:line="259" w:lineRule="auto"/>
        <w:jc w:val="both"/>
        <w:rPr>
          <w:b/>
          <w:sz w:val="25"/>
          <w:szCs w:val="25"/>
        </w:rPr>
      </w:pPr>
    </w:p>
    <w:p w14:paraId="67ACA4D3" w14:textId="653C11F6" w:rsidR="00015779" w:rsidRDefault="00015779" w:rsidP="0073178F">
      <w:pPr>
        <w:spacing w:after="160" w:line="259" w:lineRule="auto"/>
        <w:jc w:val="both"/>
        <w:rPr>
          <w:b/>
          <w:sz w:val="25"/>
          <w:szCs w:val="25"/>
        </w:rPr>
      </w:pPr>
    </w:p>
    <w:p w14:paraId="4C89E601" w14:textId="614993D2" w:rsidR="00015779" w:rsidRDefault="00015779" w:rsidP="0073178F">
      <w:pPr>
        <w:spacing w:after="160" w:line="259" w:lineRule="auto"/>
        <w:jc w:val="both"/>
        <w:rPr>
          <w:b/>
          <w:sz w:val="25"/>
          <w:szCs w:val="25"/>
        </w:rPr>
      </w:pPr>
    </w:p>
    <w:p w14:paraId="5EB8C8DD" w14:textId="71FE9D80" w:rsidR="00015779" w:rsidRDefault="00015779" w:rsidP="0073178F">
      <w:pPr>
        <w:spacing w:after="160" w:line="259" w:lineRule="auto"/>
        <w:jc w:val="both"/>
        <w:rPr>
          <w:b/>
          <w:sz w:val="25"/>
          <w:szCs w:val="25"/>
        </w:rPr>
      </w:pPr>
    </w:p>
    <w:p w14:paraId="4FED21D3" w14:textId="57376BE6" w:rsidR="00015779" w:rsidRDefault="00015779" w:rsidP="0073178F">
      <w:pPr>
        <w:spacing w:after="160" w:line="259" w:lineRule="auto"/>
        <w:jc w:val="both"/>
        <w:rPr>
          <w:b/>
          <w:sz w:val="25"/>
          <w:szCs w:val="25"/>
        </w:rPr>
      </w:pPr>
    </w:p>
    <w:p w14:paraId="04334501" w14:textId="672719D2" w:rsidR="00015779" w:rsidRDefault="00015779" w:rsidP="00015779">
      <w:pPr>
        <w:spacing w:after="160" w:line="259" w:lineRule="auto"/>
        <w:jc w:val="right"/>
        <w:rPr>
          <w:b/>
          <w:sz w:val="25"/>
          <w:szCs w:val="25"/>
        </w:rPr>
      </w:pPr>
    </w:p>
    <w:p w14:paraId="3E3B0D33" w14:textId="7A7643A7" w:rsidR="00DF67ED" w:rsidRDefault="00DF67ED" w:rsidP="0073178F">
      <w:pPr>
        <w:spacing w:after="160" w:line="259" w:lineRule="auto"/>
        <w:jc w:val="both"/>
        <w:rPr>
          <w:b/>
          <w:sz w:val="25"/>
          <w:szCs w:val="25"/>
        </w:rPr>
      </w:pPr>
    </w:p>
    <w:p w14:paraId="260E4D9D" w14:textId="76D0B057" w:rsidR="00DF67ED" w:rsidRDefault="00DF67ED" w:rsidP="0073178F">
      <w:pPr>
        <w:spacing w:after="160" w:line="259" w:lineRule="auto"/>
        <w:jc w:val="both"/>
        <w:rPr>
          <w:b/>
          <w:sz w:val="25"/>
          <w:szCs w:val="25"/>
        </w:rPr>
      </w:pPr>
      <w:r>
        <w:rPr>
          <w:b/>
          <w:sz w:val="25"/>
          <w:szCs w:val="25"/>
        </w:rPr>
        <w:t xml:space="preserve">                </w:t>
      </w:r>
      <w:r>
        <w:rPr>
          <w:b/>
          <w:sz w:val="25"/>
          <w:szCs w:val="25"/>
        </w:rPr>
        <w:tab/>
        <w:t xml:space="preserve">    </w:t>
      </w:r>
      <w:hyperlink r:id="rId7" w:history="1"/>
      <w:r w:rsidR="00E445E5">
        <w:rPr>
          <w:rStyle w:val="Collegamentoipertestuale"/>
          <w:b/>
          <w:sz w:val="25"/>
          <w:szCs w:val="25"/>
        </w:rPr>
        <w:t xml:space="preserve"> </w:t>
      </w:r>
    </w:p>
    <w:p w14:paraId="68310AD9" w14:textId="3C7A1773" w:rsidR="0025180B" w:rsidRDefault="0025180B" w:rsidP="0073178F">
      <w:pPr>
        <w:spacing w:after="160" w:line="259" w:lineRule="auto"/>
        <w:jc w:val="both"/>
        <w:rPr>
          <w:b/>
          <w:sz w:val="25"/>
          <w:szCs w:val="25"/>
        </w:rPr>
      </w:pPr>
    </w:p>
    <w:p w14:paraId="32E270D8" w14:textId="340FCEAF" w:rsidR="0025180B" w:rsidRDefault="0025180B" w:rsidP="0073178F">
      <w:pPr>
        <w:spacing w:after="160" w:line="259" w:lineRule="auto"/>
        <w:jc w:val="both"/>
        <w:rPr>
          <w:b/>
          <w:sz w:val="25"/>
          <w:szCs w:val="25"/>
        </w:rPr>
      </w:pPr>
    </w:p>
    <w:p w14:paraId="2EB4A79E" w14:textId="253F58C2" w:rsidR="0025180B" w:rsidRPr="00622326" w:rsidRDefault="0025180B" w:rsidP="00E445E5">
      <w:pPr>
        <w:spacing w:after="160" w:line="259" w:lineRule="auto"/>
        <w:jc w:val="both"/>
        <w:rPr>
          <w:b/>
          <w:sz w:val="25"/>
          <w:szCs w:val="25"/>
        </w:rPr>
      </w:pPr>
    </w:p>
    <w:sectPr w:rsidR="0025180B" w:rsidRPr="00622326" w:rsidSect="002209C1">
      <w:headerReference w:type="even" r:id="rId8"/>
      <w:headerReference w:type="default" r:id="rId9"/>
      <w:footerReference w:type="even" r:id="rId10"/>
      <w:footerReference w:type="default" r:id="rId11"/>
      <w:headerReference w:type="first" r:id="rId12"/>
      <w:footerReference w:type="first" r:id="rId13"/>
      <w:pgSz w:w="11906" w:h="16838"/>
      <w:pgMar w:top="567" w:right="425" w:bottom="828" w:left="1134" w:header="709" w:footer="1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4BE9" w14:textId="77777777" w:rsidR="002E7C37" w:rsidRDefault="002E7C37">
      <w:r>
        <w:separator/>
      </w:r>
    </w:p>
  </w:endnote>
  <w:endnote w:type="continuationSeparator" w:id="0">
    <w:p w14:paraId="0DB34F3D" w14:textId="77777777" w:rsidR="002E7C37" w:rsidRDefault="002E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CA8A" w14:textId="77777777" w:rsidR="004A719C" w:rsidRDefault="004A71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2382" w14:textId="77777777" w:rsidR="001D56FF" w:rsidRDefault="003B58CA">
    <w:pPr>
      <w:pStyle w:val="Pidipagina"/>
      <w:jc w:val="right"/>
    </w:pPr>
    <w:r>
      <w:fldChar w:fldCharType="begin"/>
    </w:r>
    <w:r>
      <w:instrText>PAGE   \* MERGEFORMAT</w:instrText>
    </w:r>
    <w:r>
      <w:fldChar w:fldCharType="separate"/>
    </w:r>
    <w:r>
      <w:rPr>
        <w:lang w:val="it-IT"/>
      </w:rPr>
      <w:t>2</w:t>
    </w:r>
    <w:r>
      <w:fldChar w:fldCharType="end"/>
    </w:r>
  </w:p>
  <w:p w14:paraId="56622012" w14:textId="77777777" w:rsidR="00AF0D42" w:rsidRDefault="00AF0D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9F1A" w14:textId="77777777" w:rsidR="004A719C" w:rsidRDefault="004A71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9543" w14:textId="77777777" w:rsidR="002E7C37" w:rsidRDefault="002E7C37">
      <w:r>
        <w:separator/>
      </w:r>
    </w:p>
  </w:footnote>
  <w:footnote w:type="continuationSeparator" w:id="0">
    <w:p w14:paraId="07E62C1D" w14:textId="77777777" w:rsidR="002E7C37" w:rsidRDefault="002E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470" w14:textId="77777777" w:rsidR="004A719C" w:rsidRDefault="004A71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C7D" w14:textId="02FF2AE3" w:rsidR="00B23C35" w:rsidRDefault="00BB0271" w:rsidP="00066D70">
    <w:pPr>
      <w:pStyle w:val="Intestazione"/>
      <w:tabs>
        <w:tab w:val="clear" w:pos="9638"/>
      </w:tabs>
    </w:pPr>
    <w:r>
      <w:rPr>
        <w:noProof/>
      </w:rPr>
      <w:drawing>
        <wp:anchor distT="0" distB="0" distL="114300" distR="114300" simplePos="0" relativeHeight="251657728" behindDoc="1" locked="0" layoutInCell="1" allowOverlap="1" wp14:anchorId="3C8DC445" wp14:editId="4F36C3B7">
          <wp:simplePos x="0" y="0"/>
          <wp:positionH relativeFrom="column">
            <wp:posOffset>-1024890</wp:posOffset>
          </wp:positionH>
          <wp:positionV relativeFrom="paragraph">
            <wp:posOffset>-427990</wp:posOffset>
          </wp:positionV>
          <wp:extent cx="7560310" cy="106762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76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0407" w14:textId="77777777" w:rsidR="004A719C" w:rsidRDefault="004A71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53D2"/>
    <w:multiLevelType w:val="hybridMultilevel"/>
    <w:tmpl w:val="6FAEF17A"/>
    <w:lvl w:ilvl="0" w:tplc="1CCAB1AA">
      <w:start w:val="1"/>
      <w:numFmt w:val="bullet"/>
      <w:lvlText w:val=""/>
      <w:lvlJc w:val="left"/>
      <w:pPr>
        <w:tabs>
          <w:tab w:val="num" w:pos="360"/>
        </w:tabs>
        <w:ind w:left="360" w:hanging="360"/>
      </w:pPr>
      <w:rPr>
        <w:rFonts w:ascii="Symbol" w:hAnsi="Symbol" w:hint="default"/>
      </w:rPr>
    </w:lvl>
    <w:lvl w:ilvl="1" w:tplc="3854623A" w:tentative="1">
      <w:start w:val="1"/>
      <w:numFmt w:val="bullet"/>
      <w:lvlText w:val="o"/>
      <w:lvlJc w:val="left"/>
      <w:pPr>
        <w:tabs>
          <w:tab w:val="num" w:pos="1080"/>
        </w:tabs>
        <w:ind w:left="1080" w:hanging="360"/>
      </w:pPr>
      <w:rPr>
        <w:rFonts w:ascii="Courier New" w:hAnsi="Courier New" w:cs="Arial" w:hint="default"/>
      </w:rPr>
    </w:lvl>
    <w:lvl w:ilvl="2" w:tplc="D3AC2E46" w:tentative="1">
      <w:start w:val="1"/>
      <w:numFmt w:val="bullet"/>
      <w:lvlText w:val=""/>
      <w:lvlJc w:val="left"/>
      <w:pPr>
        <w:tabs>
          <w:tab w:val="num" w:pos="1800"/>
        </w:tabs>
        <w:ind w:left="1800" w:hanging="360"/>
      </w:pPr>
      <w:rPr>
        <w:rFonts w:ascii="Wingdings" w:hAnsi="Wingdings" w:hint="default"/>
      </w:rPr>
    </w:lvl>
    <w:lvl w:ilvl="3" w:tplc="AB4E666E" w:tentative="1">
      <w:start w:val="1"/>
      <w:numFmt w:val="bullet"/>
      <w:lvlText w:val=""/>
      <w:lvlJc w:val="left"/>
      <w:pPr>
        <w:tabs>
          <w:tab w:val="num" w:pos="2520"/>
        </w:tabs>
        <w:ind w:left="2520" w:hanging="360"/>
      </w:pPr>
      <w:rPr>
        <w:rFonts w:ascii="Symbol" w:hAnsi="Symbol" w:hint="default"/>
      </w:rPr>
    </w:lvl>
    <w:lvl w:ilvl="4" w:tplc="05364ADC" w:tentative="1">
      <w:start w:val="1"/>
      <w:numFmt w:val="bullet"/>
      <w:lvlText w:val="o"/>
      <w:lvlJc w:val="left"/>
      <w:pPr>
        <w:tabs>
          <w:tab w:val="num" w:pos="3240"/>
        </w:tabs>
        <w:ind w:left="3240" w:hanging="360"/>
      </w:pPr>
      <w:rPr>
        <w:rFonts w:ascii="Courier New" w:hAnsi="Courier New" w:cs="Arial" w:hint="default"/>
      </w:rPr>
    </w:lvl>
    <w:lvl w:ilvl="5" w:tplc="6CDE0F08" w:tentative="1">
      <w:start w:val="1"/>
      <w:numFmt w:val="bullet"/>
      <w:lvlText w:val=""/>
      <w:lvlJc w:val="left"/>
      <w:pPr>
        <w:tabs>
          <w:tab w:val="num" w:pos="3960"/>
        </w:tabs>
        <w:ind w:left="3960" w:hanging="360"/>
      </w:pPr>
      <w:rPr>
        <w:rFonts w:ascii="Wingdings" w:hAnsi="Wingdings" w:hint="default"/>
      </w:rPr>
    </w:lvl>
    <w:lvl w:ilvl="6" w:tplc="E4B47A06" w:tentative="1">
      <w:start w:val="1"/>
      <w:numFmt w:val="bullet"/>
      <w:lvlText w:val=""/>
      <w:lvlJc w:val="left"/>
      <w:pPr>
        <w:tabs>
          <w:tab w:val="num" w:pos="4680"/>
        </w:tabs>
        <w:ind w:left="4680" w:hanging="360"/>
      </w:pPr>
      <w:rPr>
        <w:rFonts w:ascii="Symbol" w:hAnsi="Symbol" w:hint="default"/>
      </w:rPr>
    </w:lvl>
    <w:lvl w:ilvl="7" w:tplc="B45EF248" w:tentative="1">
      <w:start w:val="1"/>
      <w:numFmt w:val="bullet"/>
      <w:lvlText w:val="o"/>
      <w:lvlJc w:val="left"/>
      <w:pPr>
        <w:tabs>
          <w:tab w:val="num" w:pos="5400"/>
        </w:tabs>
        <w:ind w:left="5400" w:hanging="360"/>
      </w:pPr>
      <w:rPr>
        <w:rFonts w:ascii="Courier New" w:hAnsi="Courier New" w:cs="Arial" w:hint="default"/>
      </w:rPr>
    </w:lvl>
    <w:lvl w:ilvl="8" w:tplc="6E7859A8" w:tentative="1">
      <w:start w:val="1"/>
      <w:numFmt w:val="bullet"/>
      <w:lvlText w:val=""/>
      <w:lvlJc w:val="left"/>
      <w:pPr>
        <w:tabs>
          <w:tab w:val="num" w:pos="6120"/>
        </w:tabs>
        <w:ind w:left="6120" w:hanging="360"/>
      </w:pPr>
      <w:rPr>
        <w:rFonts w:ascii="Wingdings" w:hAnsi="Wingdings" w:hint="default"/>
      </w:rPr>
    </w:lvl>
  </w:abstractNum>
  <w:num w:numId="1" w16cid:durableId="33071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2D"/>
    <w:rsid w:val="00001397"/>
    <w:rsid w:val="00003527"/>
    <w:rsid w:val="00015779"/>
    <w:rsid w:val="0003002D"/>
    <w:rsid w:val="00033748"/>
    <w:rsid w:val="000337C4"/>
    <w:rsid w:val="00033FCD"/>
    <w:rsid w:val="000409E0"/>
    <w:rsid w:val="00063F49"/>
    <w:rsid w:val="00066D70"/>
    <w:rsid w:val="000710A8"/>
    <w:rsid w:val="00073904"/>
    <w:rsid w:val="00074CA5"/>
    <w:rsid w:val="00074FE4"/>
    <w:rsid w:val="00082881"/>
    <w:rsid w:val="00086ABB"/>
    <w:rsid w:val="00097520"/>
    <w:rsid w:val="000A40D6"/>
    <w:rsid w:val="000B5F3B"/>
    <w:rsid w:val="000C3C5A"/>
    <w:rsid w:val="000D1498"/>
    <w:rsid w:val="000D2A17"/>
    <w:rsid w:val="000E2858"/>
    <w:rsid w:val="000E549D"/>
    <w:rsid w:val="000F7E1E"/>
    <w:rsid w:val="00103ECE"/>
    <w:rsid w:val="00106416"/>
    <w:rsid w:val="00107CF1"/>
    <w:rsid w:val="0011547B"/>
    <w:rsid w:val="00126942"/>
    <w:rsid w:val="00142BC9"/>
    <w:rsid w:val="00146570"/>
    <w:rsid w:val="00152C3B"/>
    <w:rsid w:val="00160027"/>
    <w:rsid w:val="0016127A"/>
    <w:rsid w:val="00165309"/>
    <w:rsid w:val="001819EF"/>
    <w:rsid w:val="00191954"/>
    <w:rsid w:val="00192B06"/>
    <w:rsid w:val="00196112"/>
    <w:rsid w:val="001A3C20"/>
    <w:rsid w:val="001A4F39"/>
    <w:rsid w:val="001A717B"/>
    <w:rsid w:val="001B5FCF"/>
    <w:rsid w:val="001B627E"/>
    <w:rsid w:val="001C6652"/>
    <w:rsid w:val="001C76CC"/>
    <w:rsid w:val="001D56FF"/>
    <w:rsid w:val="001D7474"/>
    <w:rsid w:val="001E3929"/>
    <w:rsid w:val="001F0A16"/>
    <w:rsid w:val="001F43D1"/>
    <w:rsid w:val="00207704"/>
    <w:rsid w:val="00210462"/>
    <w:rsid w:val="00210B2C"/>
    <w:rsid w:val="002175C0"/>
    <w:rsid w:val="002209C1"/>
    <w:rsid w:val="00233310"/>
    <w:rsid w:val="002373DA"/>
    <w:rsid w:val="00241738"/>
    <w:rsid w:val="00242540"/>
    <w:rsid w:val="00242F99"/>
    <w:rsid w:val="00245018"/>
    <w:rsid w:val="0025180B"/>
    <w:rsid w:val="00262E18"/>
    <w:rsid w:val="00270C14"/>
    <w:rsid w:val="002771D9"/>
    <w:rsid w:val="00280722"/>
    <w:rsid w:val="00283BB3"/>
    <w:rsid w:val="00285A33"/>
    <w:rsid w:val="00287E96"/>
    <w:rsid w:val="002902B6"/>
    <w:rsid w:val="00293124"/>
    <w:rsid w:val="00293440"/>
    <w:rsid w:val="00294EB9"/>
    <w:rsid w:val="0029566B"/>
    <w:rsid w:val="002A4C4C"/>
    <w:rsid w:val="002A4FC7"/>
    <w:rsid w:val="002B04DE"/>
    <w:rsid w:val="002B1023"/>
    <w:rsid w:val="002B16D3"/>
    <w:rsid w:val="002B2A92"/>
    <w:rsid w:val="002C076E"/>
    <w:rsid w:val="002D0972"/>
    <w:rsid w:val="002E0762"/>
    <w:rsid w:val="002E0E25"/>
    <w:rsid w:val="002E12F9"/>
    <w:rsid w:val="002E1A80"/>
    <w:rsid w:val="002E4B67"/>
    <w:rsid w:val="002E7C37"/>
    <w:rsid w:val="002F15BD"/>
    <w:rsid w:val="002F6567"/>
    <w:rsid w:val="002F7564"/>
    <w:rsid w:val="00302659"/>
    <w:rsid w:val="00302938"/>
    <w:rsid w:val="00306B7B"/>
    <w:rsid w:val="003129B7"/>
    <w:rsid w:val="003132BB"/>
    <w:rsid w:val="00315136"/>
    <w:rsid w:val="00325831"/>
    <w:rsid w:val="00332184"/>
    <w:rsid w:val="0034203E"/>
    <w:rsid w:val="00350EC8"/>
    <w:rsid w:val="00350F15"/>
    <w:rsid w:val="00352C4E"/>
    <w:rsid w:val="003574DE"/>
    <w:rsid w:val="0036535D"/>
    <w:rsid w:val="0038005B"/>
    <w:rsid w:val="00385EA5"/>
    <w:rsid w:val="003927D9"/>
    <w:rsid w:val="00394D08"/>
    <w:rsid w:val="003A355A"/>
    <w:rsid w:val="003A60AB"/>
    <w:rsid w:val="003A6565"/>
    <w:rsid w:val="003A7060"/>
    <w:rsid w:val="003B27E5"/>
    <w:rsid w:val="003B521D"/>
    <w:rsid w:val="003B58CA"/>
    <w:rsid w:val="003C5D12"/>
    <w:rsid w:val="003D78B8"/>
    <w:rsid w:val="003E24F0"/>
    <w:rsid w:val="003E3957"/>
    <w:rsid w:val="003E7B1C"/>
    <w:rsid w:val="003E7F01"/>
    <w:rsid w:val="003F1320"/>
    <w:rsid w:val="00403861"/>
    <w:rsid w:val="00405D9F"/>
    <w:rsid w:val="004145F6"/>
    <w:rsid w:val="00421382"/>
    <w:rsid w:val="00427165"/>
    <w:rsid w:val="004326CA"/>
    <w:rsid w:val="00435016"/>
    <w:rsid w:val="0044243A"/>
    <w:rsid w:val="0044504B"/>
    <w:rsid w:val="00467F53"/>
    <w:rsid w:val="004700BF"/>
    <w:rsid w:val="004A2A74"/>
    <w:rsid w:val="004A719C"/>
    <w:rsid w:val="004A75D3"/>
    <w:rsid w:val="004B2ECD"/>
    <w:rsid w:val="004B70D5"/>
    <w:rsid w:val="004C53C2"/>
    <w:rsid w:val="004C55A1"/>
    <w:rsid w:val="004C59E1"/>
    <w:rsid w:val="004D0A01"/>
    <w:rsid w:val="004D6531"/>
    <w:rsid w:val="004D6BFD"/>
    <w:rsid w:val="004E2522"/>
    <w:rsid w:val="004E2995"/>
    <w:rsid w:val="004E2E9B"/>
    <w:rsid w:val="004E6072"/>
    <w:rsid w:val="004E6A41"/>
    <w:rsid w:val="004F1495"/>
    <w:rsid w:val="004F7FC5"/>
    <w:rsid w:val="00503957"/>
    <w:rsid w:val="00503E18"/>
    <w:rsid w:val="0050405E"/>
    <w:rsid w:val="005041A8"/>
    <w:rsid w:val="00512503"/>
    <w:rsid w:val="00512794"/>
    <w:rsid w:val="00513993"/>
    <w:rsid w:val="00535932"/>
    <w:rsid w:val="00545C25"/>
    <w:rsid w:val="0055534A"/>
    <w:rsid w:val="005561A8"/>
    <w:rsid w:val="00570188"/>
    <w:rsid w:val="00574E0A"/>
    <w:rsid w:val="00575C13"/>
    <w:rsid w:val="005822E6"/>
    <w:rsid w:val="00590B77"/>
    <w:rsid w:val="0059473E"/>
    <w:rsid w:val="00597963"/>
    <w:rsid w:val="005A0DF0"/>
    <w:rsid w:val="005A35FB"/>
    <w:rsid w:val="005A45F4"/>
    <w:rsid w:val="005A6777"/>
    <w:rsid w:val="005A698F"/>
    <w:rsid w:val="005B29EB"/>
    <w:rsid w:val="005B61E7"/>
    <w:rsid w:val="005D10F9"/>
    <w:rsid w:val="005E01EA"/>
    <w:rsid w:val="005E0643"/>
    <w:rsid w:val="005E6B98"/>
    <w:rsid w:val="005E70AE"/>
    <w:rsid w:val="0060320E"/>
    <w:rsid w:val="006046C7"/>
    <w:rsid w:val="0061653E"/>
    <w:rsid w:val="00622326"/>
    <w:rsid w:val="006433C9"/>
    <w:rsid w:val="0065073A"/>
    <w:rsid w:val="00674484"/>
    <w:rsid w:val="006747CD"/>
    <w:rsid w:val="006764A2"/>
    <w:rsid w:val="00676CAD"/>
    <w:rsid w:val="00687E3E"/>
    <w:rsid w:val="006940A7"/>
    <w:rsid w:val="006956C9"/>
    <w:rsid w:val="006A38D5"/>
    <w:rsid w:val="006A5E76"/>
    <w:rsid w:val="006B4344"/>
    <w:rsid w:val="006B55C8"/>
    <w:rsid w:val="006C486F"/>
    <w:rsid w:val="006C4B11"/>
    <w:rsid w:val="006C6E91"/>
    <w:rsid w:val="006E245F"/>
    <w:rsid w:val="006E26DB"/>
    <w:rsid w:val="006E4921"/>
    <w:rsid w:val="006F4F6B"/>
    <w:rsid w:val="00710B29"/>
    <w:rsid w:val="00711CB1"/>
    <w:rsid w:val="0072285A"/>
    <w:rsid w:val="00723741"/>
    <w:rsid w:val="0073178F"/>
    <w:rsid w:val="007322C7"/>
    <w:rsid w:val="007324E8"/>
    <w:rsid w:val="007420A8"/>
    <w:rsid w:val="007517A4"/>
    <w:rsid w:val="0075187A"/>
    <w:rsid w:val="00755009"/>
    <w:rsid w:val="007620E2"/>
    <w:rsid w:val="00764FDF"/>
    <w:rsid w:val="007751DC"/>
    <w:rsid w:val="00776788"/>
    <w:rsid w:val="00782602"/>
    <w:rsid w:val="007A4DC5"/>
    <w:rsid w:val="007B1034"/>
    <w:rsid w:val="007B684E"/>
    <w:rsid w:val="007B7E69"/>
    <w:rsid w:val="007C11AB"/>
    <w:rsid w:val="007C2951"/>
    <w:rsid w:val="007C2BC3"/>
    <w:rsid w:val="007C43EC"/>
    <w:rsid w:val="007C7E1A"/>
    <w:rsid w:val="007C7FD8"/>
    <w:rsid w:val="007E0489"/>
    <w:rsid w:val="007E3F45"/>
    <w:rsid w:val="007F3412"/>
    <w:rsid w:val="007F4106"/>
    <w:rsid w:val="007F4788"/>
    <w:rsid w:val="007F66C0"/>
    <w:rsid w:val="007F7E77"/>
    <w:rsid w:val="0080230D"/>
    <w:rsid w:val="00806D57"/>
    <w:rsid w:val="00810477"/>
    <w:rsid w:val="008114E7"/>
    <w:rsid w:val="00813952"/>
    <w:rsid w:val="0081459C"/>
    <w:rsid w:val="008249FA"/>
    <w:rsid w:val="00826CC9"/>
    <w:rsid w:val="00831A64"/>
    <w:rsid w:val="00833590"/>
    <w:rsid w:val="00842FA8"/>
    <w:rsid w:val="00844320"/>
    <w:rsid w:val="00846F37"/>
    <w:rsid w:val="00855D87"/>
    <w:rsid w:val="00860FBF"/>
    <w:rsid w:val="00864B7A"/>
    <w:rsid w:val="008654F9"/>
    <w:rsid w:val="00881E66"/>
    <w:rsid w:val="008A07A2"/>
    <w:rsid w:val="008A31D5"/>
    <w:rsid w:val="008A3BBD"/>
    <w:rsid w:val="008B2D62"/>
    <w:rsid w:val="008B4434"/>
    <w:rsid w:val="008B7C2D"/>
    <w:rsid w:val="008C132E"/>
    <w:rsid w:val="008C5C97"/>
    <w:rsid w:val="008D3655"/>
    <w:rsid w:val="008D504F"/>
    <w:rsid w:val="008D566A"/>
    <w:rsid w:val="008E0B34"/>
    <w:rsid w:val="008E1807"/>
    <w:rsid w:val="008F484F"/>
    <w:rsid w:val="008F7A40"/>
    <w:rsid w:val="00917CEA"/>
    <w:rsid w:val="00932A48"/>
    <w:rsid w:val="00936493"/>
    <w:rsid w:val="009368D1"/>
    <w:rsid w:val="00937B22"/>
    <w:rsid w:val="00942562"/>
    <w:rsid w:val="00956486"/>
    <w:rsid w:val="0095767D"/>
    <w:rsid w:val="00960B85"/>
    <w:rsid w:val="00970684"/>
    <w:rsid w:val="00973406"/>
    <w:rsid w:val="0098061F"/>
    <w:rsid w:val="00981BB7"/>
    <w:rsid w:val="00981E0B"/>
    <w:rsid w:val="00984AB7"/>
    <w:rsid w:val="009860D3"/>
    <w:rsid w:val="00994FA6"/>
    <w:rsid w:val="009A32DF"/>
    <w:rsid w:val="009A545B"/>
    <w:rsid w:val="009B330D"/>
    <w:rsid w:val="009B41F5"/>
    <w:rsid w:val="009C68DD"/>
    <w:rsid w:val="009D0BD7"/>
    <w:rsid w:val="009E2525"/>
    <w:rsid w:val="009E53D9"/>
    <w:rsid w:val="009F4971"/>
    <w:rsid w:val="009F593B"/>
    <w:rsid w:val="009F7044"/>
    <w:rsid w:val="00A161AC"/>
    <w:rsid w:val="00A202B3"/>
    <w:rsid w:val="00A313A1"/>
    <w:rsid w:val="00A407EF"/>
    <w:rsid w:val="00A40DA4"/>
    <w:rsid w:val="00A42C9A"/>
    <w:rsid w:val="00A551A0"/>
    <w:rsid w:val="00A6591D"/>
    <w:rsid w:val="00A65E22"/>
    <w:rsid w:val="00A777B8"/>
    <w:rsid w:val="00A854A8"/>
    <w:rsid w:val="00A934F9"/>
    <w:rsid w:val="00A937DD"/>
    <w:rsid w:val="00AA7D80"/>
    <w:rsid w:val="00AB6AE5"/>
    <w:rsid w:val="00AB6D33"/>
    <w:rsid w:val="00AC54EA"/>
    <w:rsid w:val="00AD157D"/>
    <w:rsid w:val="00AE2B91"/>
    <w:rsid w:val="00AE7084"/>
    <w:rsid w:val="00AE70BD"/>
    <w:rsid w:val="00AF0D42"/>
    <w:rsid w:val="00AF1272"/>
    <w:rsid w:val="00AF369E"/>
    <w:rsid w:val="00AF7B16"/>
    <w:rsid w:val="00B030F7"/>
    <w:rsid w:val="00B20DAA"/>
    <w:rsid w:val="00B22182"/>
    <w:rsid w:val="00B22E7C"/>
    <w:rsid w:val="00B23C35"/>
    <w:rsid w:val="00B23FB1"/>
    <w:rsid w:val="00B243E8"/>
    <w:rsid w:val="00B41AAB"/>
    <w:rsid w:val="00B424FB"/>
    <w:rsid w:val="00B468B8"/>
    <w:rsid w:val="00B501C7"/>
    <w:rsid w:val="00B60F34"/>
    <w:rsid w:val="00B64A0D"/>
    <w:rsid w:val="00B70E08"/>
    <w:rsid w:val="00B82A27"/>
    <w:rsid w:val="00B847F6"/>
    <w:rsid w:val="00B85AED"/>
    <w:rsid w:val="00B902BC"/>
    <w:rsid w:val="00BB0271"/>
    <w:rsid w:val="00BB044D"/>
    <w:rsid w:val="00BB0B06"/>
    <w:rsid w:val="00BB12CF"/>
    <w:rsid w:val="00BB2F48"/>
    <w:rsid w:val="00BC293D"/>
    <w:rsid w:val="00BC2D4B"/>
    <w:rsid w:val="00BC5B78"/>
    <w:rsid w:val="00BC6D51"/>
    <w:rsid w:val="00BD2F57"/>
    <w:rsid w:val="00BD48AE"/>
    <w:rsid w:val="00BE603F"/>
    <w:rsid w:val="00BF53A1"/>
    <w:rsid w:val="00C004D2"/>
    <w:rsid w:val="00C0369A"/>
    <w:rsid w:val="00C1036E"/>
    <w:rsid w:val="00C20B1E"/>
    <w:rsid w:val="00C23B56"/>
    <w:rsid w:val="00C40853"/>
    <w:rsid w:val="00C41089"/>
    <w:rsid w:val="00C50A6B"/>
    <w:rsid w:val="00C5197E"/>
    <w:rsid w:val="00C51D1E"/>
    <w:rsid w:val="00C6007C"/>
    <w:rsid w:val="00C604D1"/>
    <w:rsid w:val="00C6464C"/>
    <w:rsid w:val="00C8234E"/>
    <w:rsid w:val="00C9176A"/>
    <w:rsid w:val="00C94717"/>
    <w:rsid w:val="00C97E64"/>
    <w:rsid w:val="00CA085B"/>
    <w:rsid w:val="00CA0A04"/>
    <w:rsid w:val="00CA2ACB"/>
    <w:rsid w:val="00CA409A"/>
    <w:rsid w:val="00CA5D56"/>
    <w:rsid w:val="00CA67C3"/>
    <w:rsid w:val="00CB314D"/>
    <w:rsid w:val="00CB5493"/>
    <w:rsid w:val="00CC509D"/>
    <w:rsid w:val="00CC6482"/>
    <w:rsid w:val="00CC7204"/>
    <w:rsid w:val="00CD3729"/>
    <w:rsid w:val="00CD59B5"/>
    <w:rsid w:val="00CD79CD"/>
    <w:rsid w:val="00CE2013"/>
    <w:rsid w:val="00CF240F"/>
    <w:rsid w:val="00CF5D45"/>
    <w:rsid w:val="00CF6C14"/>
    <w:rsid w:val="00D01C4C"/>
    <w:rsid w:val="00D039B5"/>
    <w:rsid w:val="00D04823"/>
    <w:rsid w:val="00D20092"/>
    <w:rsid w:val="00D20A08"/>
    <w:rsid w:val="00D224D0"/>
    <w:rsid w:val="00D3218C"/>
    <w:rsid w:val="00D34EFC"/>
    <w:rsid w:val="00D46443"/>
    <w:rsid w:val="00D560BC"/>
    <w:rsid w:val="00D60E82"/>
    <w:rsid w:val="00D67811"/>
    <w:rsid w:val="00D7462D"/>
    <w:rsid w:val="00D75701"/>
    <w:rsid w:val="00D9109D"/>
    <w:rsid w:val="00D93505"/>
    <w:rsid w:val="00DB1C0C"/>
    <w:rsid w:val="00DB75A6"/>
    <w:rsid w:val="00DC5277"/>
    <w:rsid w:val="00DD15BF"/>
    <w:rsid w:val="00DE13D5"/>
    <w:rsid w:val="00DE1B3C"/>
    <w:rsid w:val="00DE50D3"/>
    <w:rsid w:val="00DE72CA"/>
    <w:rsid w:val="00DF0B6A"/>
    <w:rsid w:val="00DF67ED"/>
    <w:rsid w:val="00E017C2"/>
    <w:rsid w:val="00E050F4"/>
    <w:rsid w:val="00E05517"/>
    <w:rsid w:val="00E214CF"/>
    <w:rsid w:val="00E271E8"/>
    <w:rsid w:val="00E31EF7"/>
    <w:rsid w:val="00E32CDE"/>
    <w:rsid w:val="00E400B5"/>
    <w:rsid w:val="00E40431"/>
    <w:rsid w:val="00E445E5"/>
    <w:rsid w:val="00E553DB"/>
    <w:rsid w:val="00E56DAD"/>
    <w:rsid w:val="00E606D0"/>
    <w:rsid w:val="00E64AEC"/>
    <w:rsid w:val="00E70A0B"/>
    <w:rsid w:val="00E7207B"/>
    <w:rsid w:val="00E8168B"/>
    <w:rsid w:val="00E92326"/>
    <w:rsid w:val="00E9324C"/>
    <w:rsid w:val="00EA2C8C"/>
    <w:rsid w:val="00EB372F"/>
    <w:rsid w:val="00EB4A00"/>
    <w:rsid w:val="00EB61BD"/>
    <w:rsid w:val="00EC4E8F"/>
    <w:rsid w:val="00EC6341"/>
    <w:rsid w:val="00ED17E0"/>
    <w:rsid w:val="00EE296E"/>
    <w:rsid w:val="00EE32AF"/>
    <w:rsid w:val="00EF3962"/>
    <w:rsid w:val="00EF7F2F"/>
    <w:rsid w:val="00F023B0"/>
    <w:rsid w:val="00F125FD"/>
    <w:rsid w:val="00F15C89"/>
    <w:rsid w:val="00F1614D"/>
    <w:rsid w:val="00F16B69"/>
    <w:rsid w:val="00F219D7"/>
    <w:rsid w:val="00F24B6E"/>
    <w:rsid w:val="00F32C90"/>
    <w:rsid w:val="00F36BB6"/>
    <w:rsid w:val="00F4201A"/>
    <w:rsid w:val="00F43BE4"/>
    <w:rsid w:val="00F54585"/>
    <w:rsid w:val="00F63B35"/>
    <w:rsid w:val="00F90889"/>
    <w:rsid w:val="00F950C0"/>
    <w:rsid w:val="00FA4C9D"/>
    <w:rsid w:val="00FB1763"/>
    <w:rsid w:val="00FB2A84"/>
    <w:rsid w:val="00FC4A4D"/>
    <w:rsid w:val="00FD1245"/>
    <w:rsid w:val="00FD1824"/>
    <w:rsid w:val="00FD58B8"/>
    <w:rsid w:val="00FE0A1C"/>
    <w:rsid w:val="00FF1082"/>
    <w:rsid w:val="00FF2AE1"/>
    <w:rsid w:val="00FF3FEE"/>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A9F56"/>
  <w15:chartTrackingRefBased/>
  <w15:docId w15:val="{0AC7E993-43B8-764E-B078-F35590F7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25D3"/>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7462D"/>
    <w:pPr>
      <w:tabs>
        <w:tab w:val="center" w:pos="4819"/>
        <w:tab w:val="right" w:pos="9638"/>
      </w:tabs>
    </w:pPr>
  </w:style>
  <w:style w:type="paragraph" w:styleId="Pidipagina">
    <w:name w:val="footer"/>
    <w:basedOn w:val="Normale"/>
    <w:link w:val="PidipaginaCarattere"/>
    <w:uiPriority w:val="99"/>
    <w:rsid w:val="00D7462D"/>
    <w:pPr>
      <w:tabs>
        <w:tab w:val="center" w:pos="4819"/>
        <w:tab w:val="right" w:pos="9638"/>
      </w:tabs>
    </w:pPr>
    <w:rPr>
      <w:lang w:val="x-none" w:eastAsia="x-none"/>
    </w:rPr>
  </w:style>
  <w:style w:type="paragraph" w:styleId="NormaleWeb">
    <w:name w:val="Normal (Web)"/>
    <w:basedOn w:val="Normale"/>
    <w:rsid w:val="007F4809"/>
    <w:pPr>
      <w:spacing w:before="100" w:beforeAutospacing="1" w:after="100" w:afterAutospacing="1"/>
    </w:pPr>
  </w:style>
  <w:style w:type="character" w:styleId="Enfasigrassetto">
    <w:name w:val="Strong"/>
    <w:qFormat/>
    <w:rsid w:val="007F4809"/>
    <w:rPr>
      <w:b/>
      <w:bCs/>
    </w:rPr>
  </w:style>
  <w:style w:type="character" w:customStyle="1" w:styleId="PidipaginaCarattere">
    <w:name w:val="Piè di pagina Carattere"/>
    <w:link w:val="Pidipagina"/>
    <w:uiPriority w:val="99"/>
    <w:rsid w:val="00AF0D42"/>
    <w:rPr>
      <w:sz w:val="24"/>
      <w:szCs w:val="24"/>
    </w:rPr>
  </w:style>
  <w:style w:type="paragraph" w:styleId="Testofumetto">
    <w:name w:val="Balloon Text"/>
    <w:basedOn w:val="Normale"/>
    <w:link w:val="TestofumettoCarattere"/>
    <w:rsid w:val="008F7A40"/>
    <w:rPr>
      <w:rFonts w:ascii="Tahoma" w:hAnsi="Tahoma"/>
      <w:sz w:val="16"/>
      <w:szCs w:val="16"/>
      <w:lang w:val="x-none" w:eastAsia="x-none"/>
    </w:rPr>
  </w:style>
  <w:style w:type="character" w:customStyle="1" w:styleId="TestofumettoCarattere">
    <w:name w:val="Testo fumetto Carattere"/>
    <w:link w:val="Testofumetto"/>
    <w:rsid w:val="008F7A40"/>
    <w:rPr>
      <w:rFonts w:ascii="Tahoma" w:hAnsi="Tahoma" w:cs="Tahoma"/>
      <w:sz w:val="16"/>
      <w:szCs w:val="16"/>
    </w:rPr>
  </w:style>
  <w:style w:type="character" w:styleId="Enfasicorsivo">
    <w:name w:val="Emphasis"/>
    <w:qFormat/>
    <w:rsid w:val="000337C4"/>
    <w:rPr>
      <w:i/>
      <w:iCs/>
    </w:rPr>
  </w:style>
  <w:style w:type="character" w:styleId="Collegamentoipertestuale">
    <w:name w:val="Hyperlink"/>
    <w:uiPriority w:val="99"/>
    <w:unhideWhenUsed/>
    <w:rsid w:val="00E400B5"/>
    <w:rPr>
      <w:color w:val="0000FF"/>
      <w:u w:val="single"/>
    </w:rPr>
  </w:style>
  <w:style w:type="character" w:styleId="Rimandocommento">
    <w:name w:val="annotation reference"/>
    <w:rsid w:val="00352C4E"/>
    <w:rPr>
      <w:sz w:val="16"/>
      <w:szCs w:val="16"/>
    </w:rPr>
  </w:style>
  <w:style w:type="paragraph" w:styleId="Testocommento">
    <w:name w:val="annotation text"/>
    <w:basedOn w:val="Normale"/>
    <w:link w:val="TestocommentoCarattere"/>
    <w:rsid w:val="00352C4E"/>
    <w:rPr>
      <w:sz w:val="20"/>
      <w:szCs w:val="20"/>
    </w:rPr>
  </w:style>
  <w:style w:type="character" w:customStyle="1" w:styleId="TestocommentoCarattere">
    <w:name w:val="Testo commento Carattere"/>
    <w:basedOn w:val="Carpredefinitoparagrafo"/>
    <w:link w:val="Testocommento"/>
    <w:rsid w:val="00352C4E"/>
  </w:style>
  <w:style w:type="paragraph" w:styleId="Soggettocommento">
    <w:name w:val="annotation subject"/>
    <w:basedOn w:val="Testocommento"/>
    <w:next w:val="Testocommento"/>
    <w:link w:val="SoggettocommentoCarattere"/>
    <w:rsid w:val="00352C4E"/>
    <w:rPr>
      <w:b/>
      <w:bCs/>
      <w:lang w:val="x-none" w:eastAsia="x-none"/>
    </w:rPr>
  </w:style>
  <w:style w:type="character" w:customStyle="1" w:styleId="SoggettocommentoCarattere">
    <w:name w:val="Soggetto commento Carattere"/>
    <w:link w:val="Soggettocommento"/>
    <w:rsid w:val="00352C4E"/>
    <w:rPr>
      <w:b/>
      <w:bCs/>
    </w:rPr>
  </w:style>
  <w:style w:type="paragraph" w:styleId="PreformattatoHTML">
    <w:name w:val="HTML Preformatted"/>
    <w:basedOn w:val="Normale"/>
    <w:link w:val="PreformattatoHTMLCarattere"/>
    <w:uiPriority w:val="99"/>
    <w:unhideWhenUsed/>
    <w:rsid w:val="00C4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C41089"/>
    <w:rPr>
      <w:rFonts w:ascii="Courier New" w:hAnsi="Courier New" w:cs="Courier New"/>
    </w:rPr>
  </w:style>
  <w:style w:type="paragraph" w:styleId="Testonormale">
    <w:name w:val="Plain Text"/>
    <w:basedOn w:val="Normale"/>
    <w:link w:val="TestonormaleCarattere"/>
    <w:uiPriority w:val="99"/>
    <w:unhideWhenUsed/>
    <w:rsid w:val="006956C9"/>
    <w:rPr>
      <w:rFonts w:ascii="Calibri" w:eastAsia="Calibri" w:hAnsi="Calibri"/>
      <w:sz w:val="22"/>
      <w:szCs w:val="21"/>
      <w:lang w:eastAsia="en-US"/>
    </w:rPr>
  </w:style>
  <w:style w:type="character" w:customStyle="1" w:styleId="TestonormaleCarattere">
    <w:name w:val="Testo normale Carattere"/>
    <w:link w:val="Testonormale"/>
    <w:uiPriority w:val="99"/>
    <w:rsid w:val="006956C9"/>
    <w:rPr>
      <w:rFonts w:ascii="Calibri" w:eastAsia="Calibri" w:hAnsi="Calibri" w:cs="Times New Roman"/>
      <w:sz w:val="22"/>
      <w:szCs w:val="21"/>
      <w:lang w:eastAsia="en-US"/>
    </w:rPr>
  </w:style>
  <w:style w:type="character" w:styleId="Menzionenonrisolta">
    <w:name w:val="Unresolved Mention"/>
    <w:basedOn w:val="Carpredefinitoparagrafo"/>
    <w:uiPriority w:val="99"/>
    <w:semiHidden/>
    <w:unhideWhenUsed/>
    <w:rsid w:val="00DF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860">
      <w:bodyDiv w:val="1"/>
      <w:marLeft w:val="0"/>
      <w:marRight w:val="0"/>
      <w:marTop w:val="0"/>
      <w:marBottom w:val="0"/>
      <w:divBdr>
        <w:top w:val="none" w:sz="0" w:space="0" w:color="auto"/>
        <w:left w:val="none" w:sz="0" w:space="0" w:color="auto"/>
        <w:bottom w:val="none" w:sz="0" w:space="0" w:color="auto"/>
        <w:right w:val="none" w:sz="0" w:space="0" w:color="auto"/>
      </w:divBdr>
    </w:div>
    <w:div w:id="174618861">
      <w:bodyDiv w:val="1"/>
      <w:marLeft w:val="0"/>
      <w:marRight w:val="0"/>
      <w:marTop w:val="0"/>
      <w:marBottom w:val="0"/>
      <w:divBdr>
        <w:top w:val="none" w:sz="0" w:space="0" w:color="auto"/>
        <w:left w:val="none" w:sz="0" w:space="0" w:color="auto"/>
        <w:bottom w:val="none" w:sz="0" w:space="0" w:color="auto"/>
        <w:right w:val="none" w:sz="0" w:space="0" w:color="auto"/>
      </w:divBdr>
    </w:div>
    <w:div w:id="281886265">
      <w:bodyDiv w:val="1"/>
      <w:marLeft w:val="0"/>
      <w:marRight w:val="0"/>
      <w:marTop w:val="0"/>
      <w:marBottom w:val="0"/>
      <w:divBdr>
        <w:top w:val="none" w:sz="0" w:space="0" w:color="auto"/>
        <w:left w:val="none" w:sz="0" w:space="0" w:color="auto"/>
        <w:bottom w:val="none" w:sz="0" w:space="0" w:color="auto"/>
        <w:right w:val="none" w:sz="0" w:space="0" w:color="auto"/>
      </w:divBdr>
    </w:div>
    <w:div w:id="422266162">
      <w:bodyDiv w:val="1"/>
      <w:marLeft w:val="0"/>
      <w:marRight w:val="0"/>
      <w:marTop w:val="0"/>
      <w:marBottom w:val="0"/>
      <w:divBdr>
        <w:top w:val="none" w:sz="0" w:space="0" w:color="auto"/>
        <w:left w:val="none" w:sz="0" w:space="0" w:color="auto"/>
        <w:bottom w:val="none" w:sz="0" w:space="0" w:color="auto"/>
        <w:right w:val="none" w:sz="0" w:space="0" w:color="auto"/>
      </w:divBdr>
    </w:div>
    <w:div w:id="433718057">
      <w:bodyDiv w:val="1"/>
      <w:marLeft w:val="0"/>
      <w:marRight w:val="0"/>
      <w:marTop w:val="0"/>
      <w:marBottom w:val="0"/>
      <w:divBdr>
        <w:top w:val="none" w:sz="0" w:space="0" w:color="auto"/>
        <w:left w:val="none" w:sz="0" w:space="0" w:color="auto"/>
        <w:bottom w:val="none" w:sz="0" w:space="0" w:color="auto"/>
        <w:right w:val="none" w:sz="0" w:space="0" w:color="auto"/>
      </w:divBdr>
    </w:div>
    <w:div w:id="434861832">
      <w:bodyDiv w:val="1"/>
      <w:marLeft w:val="0"/>
      <w:marRight w:val="0"/>
      <w:marTop w:val="0"/>
      <w:marBottom w:val="0"/>
      <w:divBdr>
        <w:top w:val="none" w:sz="0" w:space="0" w:color="auto"/>
        <w:left w:val="none" w:sz="0" w:space="0" w:color="auto"/>
        <w:bottom w:val="none" w:sz="0" w:space="0" w:color="auto"/>
        <w:right w:val="none" w:sz="0" w:space="0" w:color="auto"/>
      </w:divBdr>
    </w:div>
    <w:div w:id="537470553">
      <w:bodyDiv w:val="1"/>
      <w:marLeft w:val="0"/>
      <w:marRight w:val="0"/>
      <w:marTop w:val="0"/>
      <w:marBottom w:val="0"/>
      <w:divBdr>
        <w:top w:val="none" w:sz="0" w:space="0" w:color="auto"/>
        <w:left w:val="none" w:sz="0" w:space="0" w:color="auto"/>
        <w:bottom w:val="none" w:sz="0" w:space="0" w:color="auto"/>
        <w:right w:val="none" w:sz="0" w:space="0" w:color="auto"/>
      </w:divBdr>
    </w:div>
    <w:div w:id="582418514">
      <w:bodyDiv w:val="1"/>
      <w:marLeft w:val="0"/>
      <w:marRight w:val="0"/>
      <w:marTop w:val="0"/>
      <w:marBottom w:val="0"/>
      <w:divBdr>
        <w:top w:val="none" w:sz="0" w:space="0" w:color="auto"/>
        <w:left w:val="none" w:sz="0" w:space="0" w:color="auto"/>
        <w:bottom w:val="none" w:sz="0" w:space="0" w:color="auto"/>
        <w:right w:val="none" w:sz="0" w:space="0" w:color="auto"/>
      </w:divBdr>
    </w:div>
    <w:div w:id="591008417">
      <w:bodyDiv w:val="1"/>
      <w:marLeft w:val="0"/>
      <w:marRight w:val="0"/>
      <w:marTop w:val="0"/>
      <w:marBottom w:val="0"/>
      <w:divBdr>
        <w:top w:val="none" w:sz="0" w:space="0" w:color="auto"/>
        <w:left w:val="none" w:sz="0" w:space="0" w:color="auto"/>
        <w:bottom w:val="none" w:sz="0" w:space="0" w:color="auto"/>
        <w:right w:val="none" w:sz="0" w:space="0" w:color="auto"/>
      </w:divBdr>
    </w:div>
    <w:div w:id="594167483">
      <w:bodyDiv w:val="1"/>
      <w:marLeft w:val="0"/>
      <w:marRight w:val="0"/>
      <w:marTop w:val="0"/>
      <w:marBottom w:val="0"/>
      <w:divBdr>
        <w:top w:val="none" w:sz="0" w:space="0" w:color="auto"/>
        <w:left w:val="none" w:sz="0" w:space="0" w:color="auto"/>
        <w:bottom w:val="none" w:sz="0" w:space="0" w:color="auto"/>
        <w:right w:val="none" w:sz="0" w:space="0" w:color="auto"/>
      </w:divBdr>
      <w:divsChild>
        <w:div w:id="113260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1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794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8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236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83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0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3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146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1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7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353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3611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5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2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31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534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717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3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344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45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07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45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38999480">
      <w:bodyDiv w:val="1"/>
      <w:marLeft w:val="0"/>
      <w:marRight w:val="0"/>
      <w:marTop w:val="0"/>
      <w:marBottom w:val="0"/>
      <w:divBdr>
        <w:top w:val="none" w:sz="0" w:space="0" w:color="auto"/>
        <w:left w:val="none" w:sz="0" w:space="0" w:color="auto"/>
        <w:bottom w:val="none" w:sz="0" w:space="0" w:color="auto"/>
        <w:right w:val="none" w:sz="0" w:space="0" w:color="auto"/>
      </w:divBdr>
    </w:div>
    <w:div w:id="768544069">
      <w:bodyDiv w:val="1"/>
      <w:marLeft w:val="0"/>
      <w:marRight w:val="0"/>
      <w:marTop w:val="0"/>
      <w:marBottom w:val="0"/>
      <w:divBdr>
        <w:top w:val="none" w:sz="0" w:space="0" w:color="auto"/>
        <w:left w:val="none" w:sz="0" w:space="0" w:color="auto"/>
        <w:bottom w:val="none" w:sz="0" w:space="0" w:color="auto"/>
        <w:right w:val="none" w:sz="0" w:space="0" w:color="auto"/>
      </w:divBdr>
    </w:div>
    <w:div w:id="802311815">
      <w:bodyDiv w:val="1"/>
      <w:marLeft w:val="0"/>
      <w:marRight w:val="0"/>
      <w:marTop w:val="0"/>
      <w:marBottom w:val="0"/>
      <w:divBdr>
        <w:top w:val="none" w:sz="0" w:space="0" w:color="auto"/>
        <w:left w:val="none" w:sz="0" w:space="0" w:color="auto"/>
        <w:bottom w:val="none" w:sz="0" w:space="0" w:color="auto"/>
        <w:right w:val="none" w:sz="0" w:space="0" w:color="auto"/>
      </w:divBdr>
    </w:div>
    <w:div w:id="993336096">
      <w:bodyDiv w:val="1"/>
      <w:marLeft w:val="0"/>
      <w:marRight w:val="0"/>
      <w:marTop w:val="0"/>
      <w:marBottom w:val="0"/>
      <w:divBdr>
        <w:top w:val="none" w:sz="0" w:space="0" w:color="auto"/>
        <w:left w:val="none" w:sz="0" w:space="0" w:color="auto"/>
        <w:bottom w:val="none" w:sz="0" w:space="0" w:color="auto"/>
        <w:right w:val="none" w:sz="0" w:space="0" w:color="auto"/>
      </w:divBdr>
    </w:div>
    <w:div w:id="1138691942">
      <w:bodyDiv w:val="1"/>
      <w:marLeft w:val="0"/>
      <w:marRight w:val="0"/>
      <w:marTop w:val="0"/>
      <w:marBottom w:val="0"/>
      <w:divBdr>
        <w:top w:val="none" w:sz="0" w:space="0" w:color="auto"/>
        <w:left w:val="none" w:sz="0" w:space="0" w:color="auto"/>
        <w:bottom w:val="none" w:sz="0" w:space="0" w:color="auto"/>
        <w:right w:val="none" w:sz="0" w:space="0" w:color="auto"/>
      </w:divBdr>
    </w:div>
    <w:div w:id="1288122698">
      <w:bodyDiv w:val="1"/>
      <w:marLeft w:val="0"/>
      <w:marRight w:val="0"/>
      <w:marTop w:val="0"/>
      <w:marBottom w:val="0"/>
      <w:divBdr>
        <w:top w:val="none" w:sz="0" w:space="0" w:color="auto"/>
        <w:left w:val="none" w:sz="0" w:space="0" w:color="auto"/>
        <w:bottom w:val="none" w:sz="0" w:space="0" w:color="auto"/>
        <w:right w:val="none" w:sz="0" w:space="0" w:color="auto"/>
      </w:divBdr>
    </w:div>
    <w:div w:id="1350639635">
      <w:bodyDiv w:val="1"/>
      <w:marLeft w:val="0"/>
      <w:marRight w:val="0"/>
      <w:marTop w:val="0"/>
      <w:marBottom w:val="0"/>
      <w:divBdr>
        <w:top w:val="none" w:sz="0" w:space="0" w:color="auto"/>
        <w:left w:val="none" w:sz="0" w:space="0" w:color="auto"/>
        <w:bottom w:val="none" w:sz="0" w:space="0" w:color="auto"/>
        <w:right w:val="none" w:sz="0" w:space="0" w:color="auto"/>
      </w:divBdr>
    </w:div>
    <w:div w:id="1359090277">
      <w:bodyDiv w:val="1"/>
      <w:marLeft w:val="0"/>
      <w:marRight w:val="0"/>
      <w:marTop w:val="0"/>
      <w:marBottom w:val="0"/>
      <w:divBdr>
        <w:top w:val="none" w:sz="0" w:space="0" w:color="auto"/>
        <w:left w:val="none" w:sz="0" w:space="0" w:color="auto"/>
        <w:bottom w:val="none" w:sz="0" w:space="0" w:color="auto"/>
        <w:right w:val="none" w:sz="0" w:space="0" w:color="auto"/>
      </w:divBdr>
    </w:div>
    <w:div w:id="1511719972">
      <w:bodyDiv w:val="1"/>
      <w:marLeft w:val="0"/>
      <w:marRight w:val="0"/>
      <w:marTop w:val="0"/>
      <w:marBottom w:val="0"/>
      <w:divBdr>
        <w:top w:val="none" w:sz="0" w:space="0" w:color="auto"/>
        <w:left w:val="none" w:sz="0" w:space="0" w:color="auto"/>
        <w:bottom w:val="none" w:sz="0" w:space="0" w:color="auto"/>
        <w:right w:val="none" w:sz="0" w:space="0" w:color="auto"/>
      </w:divBdr>
    </w:div>
    <w:div w:id="197683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ederunacoma.wetransfer.com/downloads/dac638e37ae05bec6841b8c71715347020220112131208/a088eb07fd8d6b89c98a4566009b12eb20220112131208/d82f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778</Words>
  <Characters>4441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Comunicato Stampa</vt:lpstr>
    </vt:vector>
  </TitlesOfParts>
  <Company>Hewlett-Packard Company</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Nome utente</dc:creator>
  <cp:keywords/>
  <cp:lastModifiedBy>Patrizia Menicucci</cp:lastModifiedBy>
  <cp:revision>3</cp:revision>
  <cp:lastPrinted>2019-04-02T08:55:00Z</cp:lastPrinted>
  <dcterms:created xsi:type="dcterms:W3CDTF">2022-05-13T13:58:00Z</dcterms:created>
  <dcterms:modified xsi:type="dcterms:W3CDTF">2022-05-13T14:00:00Z</dcterms:modified>
</cp:coreProperties>
</file>