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8F31" w14:textId="77777777" w:rsidR="003A5287" w:rsidRDefault="003A5287" w:rsidP="007609F5">
      <w:pPr>
        <w:jc w:val="both"/>
        <w:rPr>
          <w:rStyle w:val="Nessuno"/>
          <w:i/>
          <w:iCs/>
          <w:lang w:val="it-IT"/>
        </w:rPr>
      </w:pPr>
    </w:p>
    <w:p w14:paraId="35FEF178" w14:textId="3E8B9683" w:rsidR="00D10F63" w:rsidRPr="00D10F63" w:rsidRDefault="007609F5" w:rsidP="00D10F63">
      <w:pPr>
        <w:jc w:val="both"/>
        <w:rPr>
          <w:rFonts w:cs="Times New Roman"/>
          <w:i/>
          <w:lang w:val="it-IT"/>
        </w:rPr>
      </w:pPr>
      <w:r>
        <w:rPr>
          <w:rFonts w:cs="Times New Roman"/>
          <w:i/>
          <w:lang w:val="it-IT"/>
        </w:rPr>
        <w:t xml:space="preserve">Press release no. </w:t>
      </w:r>
      <w:r w:rsidR="002E6332">
        <w:rPr>
          <w:rFonts w:cs="Times New Roman"/>
          <w:i/>
          <w:lang w:val="it-IT"/>
        </w:rPr>
        <w:t>5/2021</w:t>
      </w:r>
    </w:p>
    <w:p w14:paraId="7B9891B3" w14:textId="77777777" w:rsidR="00E1123F" w:rsidRPr="00E1123F" w:rsidRDefault="00E1123F" w:rsidP="00E1123F">
      <w:pPr>
        <w:jc w:val="both"/>
        <w:rPr>
          <w:rFonts w:cs="Times New Roman"/>
          <w:b/>
          <w:sz w:val="28"/>
          <w:szCs w:val="28"/>
        </w:rPr>
      </w:pPr>
      <w:r w:rsidRPr="00E1123F">
        <w:rPr>
          <w:rFonts w:cs="Times New Roman"/>
          <w:b/>
          <w:sz w:val="28"/>
          <w:szCs w:val="28"/>
        </w:rPr>
        <w:t>Agricultural machinery: strong growth in components</w:t>
      </w:r>
    </w:p>
    <w:p w14:paraId="271A67F4" w14:textId="77777777" w:rsidR="00E1123F" w:rsidRPr="00C475EC" w:rsidRDefault="00E1123F" w:rsidP="00E1123F">
      <w:pPr>
        <w:jc w:val="both"/>
        <w:rPr>
          <w:rFonts w:cs="Times New Roman"/>
          <w:b/>
        </w:rPr>
      </w:pPr>
    </w:p>
    <w:p w14:paraId="3B12D315" w14:textId="774DEEA4" w:rsidR="00E1123F" w:rsidRPr="00E1123F" w:rsidRDefault="00E1123F" w:rsidP="00E1123F">
      <w:pPr>
        <w:jc w:val="both"/>
        <w:rPr>
          <w:rFonts w:cs="Times New Roman"/>
          <w:b/>
          <w:i/>
          <w:iCs/>
        </w:rPr>
      </w:pPr>
      <w:r w:rsidRPr="00E1123F">
        <w:rPr>
          <w:rFonts w:cs="Times New Roman"/>
          <w:b/>
          <w:i/>
          <w:iCs/>
        </w:rPr>
        <w:t xml:space="preserve">The first quarter of the year shows a clear increase in turnover for manufacturers of components for agricultural machinery and equipment. The domestic market and exports are doing well. According to Comacomp, the positive trend should continue in the coming months thanks to a high number of orders. The October </w:t>
      </w:r>
      <w:r w:rsidR="00F6621E">
        <w:rPr>
          <w:rFonts w:cs="Times New Roman"/>
          <w:b/>
          <w:i/>
          <w:iCs/>
        </w:rPr>
        <w:t>rendezvous</w:t>
      </w:r>
      <w:r w:rsidRPr="00E1123F">
        <w:rPr>
          <w:rFonts w:cs="Times New Roman"/>
          <w:b/>
          <w:i/>
          <w:iCs/>
        </w:rPr>
        <w:t xml:space="preserve"> with EIMA International is a </w:t>
      </w:r>
      <w:r w:rsidR="00F6621E">
        <w:rPr>
          <w:rFonts w:cs="Times New Roman"/>
          <w:b/>
          <w:i/>
          <w:iCs/>
        </w:rPr>
        <w:t>great</w:t>
      </w:r>
      <w:r w:rsidRPr="00E1123F">
        <w:rPr>
          <w:rFonts w:cs="Times New Roman"/>
          <w:b/>
          <w:i/>
          <w:iCs/>
        </w:rPr>
        <w:t xml:space="preserve"> opportunity to give further impetus to companies in the sector. To date, 520 exhibitors have been confirmed for the components exhibition alone.</w:t>
      </w:r>
    </w:p>
    <w:p w14:paraId="5C38A57E" w14:textId="77777777" w:rsidR="00E1123F" w:rsidRPr="00C475EC" w:rsidRDefault="00E1123F" w:rsidP="00E1123F">
      <w:pPr>
        <w:jc w:val="both"/>
        <w:rPr>
          <w:rFonts w:cs="Times New Roman"/>
        </w:rPr>
      </w:pPr>
    </w:p>
    <w:p w14:paraId="0431BCF3" w14:textId="5862DB6A" w:rsidR="00E1123F" w:rsidRPr="00C475EC" w:rsidRDefault="00E1123F" w:rsidP="00E1123F">
      <w:pPr>
        <w:jc w:val="both"/>
        <w:rPr>
          <w:rFonts w:cs="Times New Roman"/>
        </w:rPr>
      </w:pPr>
      <w:r w:rsidRPr="00C475EC">
        <w:rPr>
          <w:rFonts w:cs="Times New Roman"/>
        </w:rPr>
        <w:t>The components industry for agricultural machinery and equipment is restarting at a faster pace than expected. Data from the periodic survey carried out by Comacomp (</w:t>
      </w:r>
      <w:r>
        <w:rPr>
          <w:rFonts w:cs="Times New Roman"/>
        </w:rPr>
        <w:t xml:space="preserve">FederUnacoma) </w:t>
      </w:r>
      <w:r w:rsidRPr="00C475EC">
        <w:rPr>
          <w:rFonts w:cs="Times New Roman"/>
        </w:rPr>
        <w:t xml:space="preserve">on the basis of surveys of member companies indicate a clear increase in total turnover in the first quarter of the year. </w:t>
      </w:r>
      <w:r>
        <w:rPr>
          <w:rFonts w:cs="Times New Roman"/>
        </w:rPr>
        <w:t>51.</w:t>
      </w:r>
      <w:r w:rsidRPr="00C475EC">
        <w:rPr>
          <w:rFonts w:cs="Times New Roman"/>
        </w:rPr>
        <w:t>5% of the companies surveyed recorded increases of over 20%</w:t>
      </w:r>
      <w:r>
        <w:rPr>
          <w:rFonts w:cs="Times New Roman"/>
        </w:rPr>
        <w:t>, and another substantial number of companies (22.5%) recorded increases of between 11</w:t>
      </w:r>
      <w:r w:rsidR="00BF68AC">
        <w:rPr>
          <w:rFonts w:cs="Times New Roman"/>
        </w:rPr>
        <w:t>%</w:t>
      </w:r>
      <w:r>
        <w:rPr>
          <w:rFonts w:cs="Times New Roman"/>
        </w:rPr>
        <w:t xml:space="preserve"> and 20%. </w:t>
      </w:r>
      <w:r w:rsidRPr="00C475EC">
        <w:rPr>
          <w:rFonts w:cs="Times New Roman"/>
        </w:rPr>
        <w:t xml:space="preserve">The majority of companies </w:t>
      </w:r>
      <w:r>
        <w:rPr>
          <w:rFonts w:cs="Times New Roman"/>
        </w:rPr>
        <w:t>(</w:t>
      </w:r>
      <w:r w:rsidRPr="00C475EC">
        <w:rPr>
          <w:rFonts w:cs="Times New Roman"/>
        </w:rPr>
        <w:t>60%) have seen their turnover increase on the domestic market</w:t>
      </w:r>
      <w:r>
        <w:rPr>
          <w:rFonts w:cs="Times New Roman"/>
        </w:rPr>
        <w:t xml:space="preserve">, but the </w:t>
      </w:r>
      <w:r w:rsidRPr="00C475EC">
        <w:rPr>
          <w:rFonts w:cs="Times New Roman"/>
        </w:rPr>
        <w:t xml:space="preserve">expansion trend has also affected the share of turnover generated by exports. </w:t>
      </w:r>
      <w:r>
        <w:rPr>
          <w:rFonts w:cs="Times New Roman"/>
        </w:rPr>
        <w:t xml:space="preserve">Sales in the European area </w:t>
      </w:r>
      <w:r w:rsidRPr="00C475EC">
        <w:rPr>
          <w:rFonts w:cs="Times New Roman"/>
        </w:rPr>
        <w:t>have</w:t>
      </w:r>
      <w:r>
        <w:rPr>
          <w:rFonts w:cs="Times New Roman"/>
        </w:rPr>
        <w:t xml:space="preserve"> a great impact, with </w:t>
      </w:r>
      <w:r w:rsidRPr="00C475EC">
        <w:rPr>
          <w:rFonts w:cs="Times New Roman"/>
        </w:rPr>
        <w:t xml:space="preserve">about half of Italian companies reporting increases in turnover of over 11% </w:t>
      </w:r>
      <w:r>
        <w:rPr>
          <w:rFonts w:cs="Times New Roman"/>
        </w:rPr>
        <w:t xml:space="preserve">and one company in five reporting increases of over 20%. </w:t>
      </w:r>
      <w:r w:rsidRPr="00C475EC">
        <w:rPr>
          <w:rFonts w:cs="Times New Roman"/>
        </w:rPr>
        <w:t xml:space="preserve">Non-European markets </w:t>
      </w:r>
      <w:r>
        <w:rPr>
          <w:rFonts w:cs="Times New Roman"/>
        </w:rPr>
        <w:t xml:space="preserve">also </w:t>
      </w:r>
      <w:r w:rsidRPr="00C475EC">
        <w:rPr>
          <w:rFonts w:cs="Times New Roman"/>
        </w:rPr>
        <w:t xml:space="preserve">performed </w:t>
      </w:r>
      <w:r>
        <w:rPr>
          <w:rFonts w:cs="Times New Roman"/>
        </w:rPr>
        <w:t xml:space="preserve">positively: 53% </w:t>
      </w:r>
      <w:r w:rsidRPr="00C475EC">
        <w:rPr>
          <w:rFonts w:cs="Times New Roman"/>
        </w:rPr>
        <w:t xml:space="preserve">of the sample recorded a growth in business, while a significant number of companies </w:t>
      </w:r>
      <w:r>
        <w:rPr>
          <w:rFonts w:cs="Times New Roman"/>
        </w:rPr>
        <w:t xml:space="preserve">(35%) maintained </w:t>
      </w:r>
      <w:r w:rsidRPr="00C475EC">
        <w:rPr>
          <w:rFonts w:cs="Times New Roman"/>
        </w:rPr>
        <w:t>last year's levels</w:t>
      </w:r>
      <w:r>
        <w:rPr>
          <w:rFonts w:cs="Times New Roman"/>
        </w:rPr>
        <w:t xml:space="preserve">. </w:t>
      </w:r>
    </w:p>
    <w:p w14:paraId="032A7885" w14:textId="6DD5EEA5" w:rsidR="00E1123F" w:rsidRPr="00C475EC" w:rsidRDefault="00E1123F" w:rsidP="00E1123F">
      <w:pPr>
        <w:jc w:val="both"/>
      </w:pPr>
      <w:r w:rsidRPr="00C475EC">
        <w:rPr>
          <w:rFonts w:cs="Times New Roman"/>
        </w:rPr>
        <w:t xml:space="preserve">According to Comacomp's forecasts, the </w:t>
      </w:r>
      <w:r>
        <w:rPr>
          <w:rFonts w:cs="Times New Roman"/>
        </w:rPr>
        <w:t xml:space="preserve">favourable </w:t>
      </w:r>
      <w:r w:rsidRPr="00C475EC">
        <w:rPr>
          <w:rFonts w:cs="Times New Roman"/>
        </w:rPr>
        <w:t xml:space="preserve">economic situation is expected to continue in the coming months, since the order </w:t>
      </w:r>
      <w:r w:rsidR="00BF68AC">
        <w:rPr>
          <w:rFonts w:cs="Times New Roman"/>
        </w:rPr>
        <w:t>figures</w:t>
      </w:r>
      <w:r w:rsidRPr="00C475EC">
        <w:rPr>
          <w:rFonts w:cs="Times New Roman"/>
        </w:rPr>
        <w:t xml:space="preserve"> </w:t>
      </w:r>
      <w:r w:rsidR="00BF68AC">
        <w:rPr>
          <w:rFonts w:cs="Times New Roman"/>
        </w:rPr>
        <w:t xml:space="preserve">are </w:t>
      </w:r>
      <w:r w:rsidRPr="00C475EC">
        <w:rPr>
          <w:rFonts w:cs="Times New Roman"/>
        </w:rPr>
        <w:t xml:space="preserve">clearly </w:t>
      </w:r>
      <w:proofErr w:type="gramStart"/>
      <w:r w:rsidRPr="00C475EC">
        <w:rPr>
          <w:rFonts w:cs="Times New Roman"/>
        </w:rPr>
        <w:t>growing:</w:t>
      </w:r>
      <w:proofErr w:type="gramEnd"/>
      <w:r w:rsidRPr="00C475EC">
        <w:rPr>
          <w:rFonts w:cs="Times New Roman"/>
        </w:rPr>
        <w:t xml:space="preserve"> for the April-June period, 29% of the companies surveyed estimate an increase in orders of more than 20%, while a further 26% expect growth of between 11</w:t>
      </w:r>
      <w:r w:rsidR="00BF68AC">
        <w:rPr>
          <w:rFonts w:cs="Times New Roman"/>
        </w:rPr>
        <w:t>%</w:t>
      </w:r>
      <w:r w:rsidRPr="00C475EC">
        <w:rPr>
          <w:rFonts w:cs="Times New Roman"/>
        </w:rPr>
        <w:t xml:space="preserve"> and 20%. Components thus confirm </w:t>
      </w:r>
      <w:r w:rsidR="00BF68AC">
        <w:rPr>
          <w:rFonts w:cs="Times New Roman"/>
        </w:rPr>
        <w:t xml:space="preserve">their place </w:t>
      </w:r>
      <w:r w:rsidRPr="00C475EC">
        <w:rPr>
          <w:rFonts w:cs="Times New Roman"/>
        </w:rPr>
        <w:t xml:space="preserve">as one of the driving sectors </w:t>
      </w:r>
      <w:r>
        <w:rPr>
          <w:rFonts w:cs="Times New Roman"/>
        </w:rPr>
        <w:t xml:space="preserve">of </w:t>
      </w:r>
      <w:r w:rsidRPr="00C475EC">
        <w:rPr>
          <w:rFonts w:cs="Times New Roman"/>
        </w:rPr>
        <w:t xml:space="preserve">agricultural </w:t>
      </w:r>
      <w:r w:rsidR="00BF68AC">
        <w:rPr>
          <w:rFonts w:cs="Times New Roman"/>
        </w:rPr>
        <w:t>machinery</w:t>
      </w:r>
      <w:r w:rsidRPr="00C475EC">
        <w:rPr>
          <w:rFonts w:cs="Times New Roman"/>
        </w:rPr>
        <w:t>, both in</w:t>
      </w:r>
      <w:r>
        <w:rPr>
          <w:rFonts w:cs="Times New Roman"/>
        </w:rPr>
        <w:t xml:space="preserve"> terms of </w:t>
      </w:r>
      <w:r w:rsidRPr="00C475EC">
        <w:rPr>
          <w:rFonts w:cs="Times New Roman"/>
        </w:rPr>
        <w:t>production value (</w:t>
      </w:r>
      <w:r>
        <w:rPr>
          <w:rFonts w:cs="Times New Roman"/>
        </w:rPr>
        <w:t xml:space="preserve">over </w:t>
      </w:r>
      <w:r w:rsidRPr="00C475EC">
        <w:rPr>
          <w:rFonts w:cs="Times New Roman"/>
        </w:rPr>
        <w:t xml:space="preserve">2.7 billion </w:t>
      </w:r>
      <w:r>
        <w:rPr>
          <w:rFonts w:cs="Times New Roman"/>
        </w:rPr>
        <w:t xml:space="preserve">euros) </w:t>
      </w:r>
      <w:r w:rsidRPr="00C475EC">
        <w:rPr>
          <w:rFonts w:cs="Times New Roman"/>
        </w:rPr>
        <w:t xml:space="preserve">and the ability to offer highly innovative solutions. EIMA International </w:t>
      </w:r>
      <w:r>
        <w:rPr>
          <w:rFonts w:cs="Times New Roman"/>
        </w:rPr>
        <w:t xml:space="preserve">- </w:t>
      </w:r>
      <w:r w:rsidRPr="00C475EC">
        <w:rPr>
          <w:rFonts w:cs="Times New Roman"/>
        </w:rPr>
        <w:t xml:space="preserve">the great exhibition of </w:t>
      </w:r>
      <w:r>
        <w:rPr>
          <w:rFonts w:cs="Times New Roman"/>
        </w:rPr>
        <w:t xml:space="preserve">agricultural </w:t>
      </w:r>
      <w:r w:rsidR="00BF68AC">
        <w:rPr>
          <w:rFonts w:cs="Times New Roman"/>
        </w:rPr>
        <w:t>machinery</w:t>
      </w:r>
      <w:r w:rsidR="00BF68AC">
        <w:rPr>
          <w:rFonts w:cs="Times New Roman"/>
        </w:rPr>
        <w:t xml:space="preserve"> </w:t>
      </w:r>
      <w:r>
        <w:rPr>
          <w:rFonts w:cs="Times New Roman"/>
        </w:rPr>
        <w:t xml:space="preserve">scheduled to take place in Bologna from 19 to 23 October - is </w:t>
      </w:r>
      <w:r w:rsidRPr="00C475EC">
        <w:rPr>
          <w:rFonts w:cs="Times New Roman"/>
        </w:rPr>
        <w:t>dedicating a specific space to this important sector</w:t>
      </w:r>
      <w:r>
        <w:rPr>
          <w:rFonts w:cs="Times New Roman"/>
        </w:rPr>
        <w:t xml:space="preserve">, the </w:t>
      </w:r>
      <w:r w:rsidRPr="00C475EC">
        <w:rPr>
          <w:rFonts w:cs="Times New Roman"/>
        </w:rPr>
        <w:t xml:space="preserve">EIMA </w:t>
      </w:r>
      <w:proofErr w:type="spellStart"/>
      <w:r w:rsidRPr="00C475EC">
        <w:rPr>
          <w:rFonts w:cs="Times New Roman"/>
        </w:rPr>
        <w:t>Component</w:t>
      </w:r>
      <w:r w:rsidR="00BF68AC">
        <w:rPr>
          <w:rFonts w:cs="Times New Roman"/>
        </w:rPr>
        <w:t>i</w:t>
      </w:r>
      <w:proofErr w:type="spellEnd"/>
      <w:r w:rsidRPr="00C475EC">
        <w:rPr>
          <w:rFonts w:cs="Times New Roman"/>
        </w:rPr>
        <w:t xml:space="preserve"> exhibition, </w:t>
      </w:r>
      <w:r w:rsidRPr="00C475EC">
        <w:rPr>
          <w:rFonts w:eastAsia="Times New Roman" w:cs="Times New Roman"/>
        </w:rPr>
        <w:t xml:space="preserve">where </w:t>
      </w:r>
      <w:r>
        <w:rPr>
          <w:rFonts w:eastAsia="Times New Roman" w:cs="Times New Roman"/>
        </w:rPr>
        <w:t>520 specialized manufacturers</w:t>
      </w:r>
      <w:r w:rsidR="00E50811">
        <w:rPr>
          <w:rFonts w:eastAsia="Times New Roman" w:cs="Times New Roman"/>
        </w:rPr>
        <w:t xml:space="preserve">, </w:t>
      </w:r>
      <w:r>
        <w:rPr>
          <w:rFonts w:eastAsia="Times New Roman" w:cs="Times New Roman"/>
        </w:rPr>
        <w:t xml:space="preserve">144 of </w:t>
      </w:r>
      <w:r w:rsidR="00203DE8">
        <w:rPr>
          <w:rFonts w:eastAsia="Times New Roman" w:cs="Times New Roman"/>
        </w:rPr>
        <w:t xml:space="preserve">whom are </w:t>
      </w:r>
      <w:r>
        <w:rPr>
          <w:rFonts w:eastAsia="Times New Roman" w:cs="Times New Roman"/>
        </w:rPr>
        <w:t>foreign</w:t>
      </w:r>
      <w:r w:rsidR="00E50811">
        <w:rPr>
          <w:rFonts w:eastAsia="Times New Roman" w:cs="Times New Roman"/>
        </w:rPr>
        <w:t xml:space="preserve">, </w:t>
      </w:r>
      <w:r>
        <w:rPr>
          <w:rFonts w:eastAsia="Times New Roman" w:cs="Times New Roman"/>
        </w:rPr>
        <w:t xml:space="preserve">have already confirmed their participation </w:t>
      </w:r>
      <w:r w:rsidR="00E50811">
        <w:rPr>
          <w:rFonts w:eastAsia="Times New Roman" w:cs="Times New Roman"/>
        </w:rPr>
        <w:t xml:space="preserve">(in addition to the companies </w:t>
      </w:r>
      <w:r w:rsidR="00BF68AC">
        <w:rPr>
          <w:rFonts w:eastAsia="Times New Roman" w:cs="Times New Roman"/>
        </w:rPr>
        <w:t>making</w:t>
      </w:r>
      <w:r w:rsidR="00E50811">
        <w:rPr>
          <w:rFonts w:eastAsia="Times New Roman" w:cs="Times New Roman"/>
        </w:rPr>
        <w:t xml:space="preserve"> components for spraying</w:t>
      </w:r>
      <w:r w:rsidR="00203DE8">
        <w:rPr>
          <w:rFonts w:eastAsia="Times New Roman" w:cs="Times New Roman"/>
        </w:rPr>
        <w:t xml:space="preserve"> </w:t>
      </w:r>
      <w:r w:rsidR="00E50811">
        <w:rPr>
          <w:rFonts w:eastAsia="Times New Roman" w:cs="Times New Roman"/>
        </w:rPr>
        <w:t>and those for irrigation located in the "</w:t>
      </w:r>
      <w:proofErr w:type="spellStart"/>
      <w:r w:rsidR="00E50811">
        <w:rPr>
          <w:rFonts w:eastAsia="Times New Roman" w:cs="Times New Roman"/>
        </w:rPr>
        <w:t>Idrotech</w:t>
      </w:r>
      <w:proofErr w:type="spellEnd"/>
      <w:r w:rsidR="00E50811">
        <w:rPr>
          <w:rFonts w:eastAsia="Times New Roman" w:cs="Times New Roman"/>
        </w:rPr>
        <w:t xml:space="preserve">" </w:t>
      </w:r>
      <w:r w:rsidR="00BF68AC">
        <w:rPr>
          <w:rFonts w:eastAsia="Times New Roman" w:cs="Times New Roman"/>
        </w:rPr>
        <w:t>e</w:t>
      </w:r>
      <w:r w:rsidR="00E50811">
        <w:rPr>
          <w:rFonts w:eastAsia="Times New Roman" w:cs="Times New Roman"/>
        </w:rPr>
        <w:t xml:space="preserve">xhibition). </w:t>
      </w:r>
      <w:r w:rsidRPr="00C475EC">
        <w:rPr>
          <w:rFonts w:eastAsia="Times New Roman" w:cs="Times New Roman"/>
        </w:rPr>
        <w:t xml:space="preserve">From transmissions to engines, from electronic control units to on-board computers, from axles to the smallest mechanical gears, there are </w:t>
      </w:r>
      <w:r>
        <w:rPr>
          <w:rFonts w:eastAsia="Times New Roman" w:cs="Times New Roman"/>
        </w:rPr>
        <w:t xml:space="preserve">more than 350 product categories at the show. It is </w:t>
      </w:r>
      <w:r w:rsidRPr="00C475EC">
        <w:rPr>
          <w:rFonts w:eastAsia="Times New Roman" w:cs="Times New Roman"/>
        </w:rPr>
        <w:t xml:space="preserve">a much-awaited </w:t>
      </w:r>
      <w:r w:rsidR="00BF68AC">
        <w:rPr>
          <w:rFonts w:eastAsia="Times New Roman" w:cs="Times New Roman"/>
        </w:rPr>
        <w:t>rendezvous</w:t>
      </w:r>
      <w:r w:rsidRPr="00C475EC">
        <w:rPr>
          <w:rFonts w:eastAsia="Times New Roman" w:cs="Times New Roman"/>
        </w:rPr>
        <w:t xml:space="preserve"> </w:t>
      </w:r>
      <w:r>
        <w:rPr>
          <w:rFonts w:eastAsia="Times New Roman" w:cs="Times New Roman"/>
        </w:rPr>
        <w:t xml:space="preserve">for </w:t>
      </w:r>
      <w:r w:rsidR="00BF68AC">
        <w:rPr>
          <w:rFonts w:eastAsia="Times New Roman" w:cs="Times New Roman"/>
        </w:rPr>
        <w:t>the industry’s</w:t>
      </w:r>
      <w:r w:rsidRPr="00C475EC">
        <w:rPr>
          <w:rFonts w:eastAsia="Times New Roman" w:cs="Times New Roman"/>
        </w:rPr>
        <w:t xml:space="preserve"> </w:t>
      </w:r>
      <w:r w:rsidR="00BF68AC">
        <w:rPr>
          <w:rFonts w:eastAsia="Times New Roman" w:cs="Times New Roman"/>
        </w:rPr>
        <w:t>players</w:t>
      </w:r>
      <w:r w:rsidRPr="00C475EC">
        <w:rPr>
          <w:rFonts w:eastAsia="Times New Roman" w:cs="Times New Roman"/>
        </w:rPr>
        <w:t xml:space="preserve">", observes FederUnacoma, the direct organiser of EIMA, "not only because it will be the first </w:t>
      </w:r>
      <w:r w:rsidR="00185AFD">
        <w:rPr>
          <w:rFonts w:eastAsia="Times New Roman" w:cs="Times New Roman"/>
        </w:rPr>
        <w:t xml:space="preserve">"in </w:t>
      </w:r>
      <w:r w:rsidR="00BF68AC">
        <w:rPr>
          <w:rFonts w:eastAsia="Times New Roman" w:cs="Times New Roman"/>
        </w:rPr>
        <w:t>person</w:t>
      </w:r>
      <w:r w:rsidR="00185AFD">
        <w:rPr>
          <w:rFonts w:eastAsia="Times New Roman" w:cs="Times New Roman"/>
        </w:rPr>
        <w:t>"</w:t>
      </w:r>
      <w:r w:rsidR="00BF68AC" w:rsidRPr="00BF68AC">
        <w:rPr>
          <w:rFonts w:eastAsia="Times New Roman" w:cs="Times New Roman"/>
        </w:rPr>
        <w:t xml:space="preserve"> </w:t>
      </w:r>
      <w:r w:rsidR="00BF68AC" w:rsidRPr="00C475EC">
        <w:rPr>
          <w:rFonts w:eastAsia="Times New Roman" w:cs="Times New Roman"/>
        </w:rPr>
        <w:t>event</w:t>
      </w:r>
      <w:r w:rsidR="00185AFD">
        <w:rPr>
          <w:rFonts w:eastAsia="Times New Roman" w:cs="Times New Roman"/>
        </w:rPr>
        <w:t xml:space="preserve"> </w:t>
      </w:r>
      <w:r>
        <w:rPr>
          <w:rFonts w:eastAsia="Times New Roman" w:cs="Times New Roman"/>
        </w:rPr>
        <w:t xml:space="preserve">after exhibitions </w:t>
      </w:r>
      <w:r w:rsidR="00BF68AC">
        <w:rPr>
          <w:rFonts w:eastAsia="Times New Roman" w:cs="Times New Roman"/>
        </w:rPr>
        <w:t xml:space="preserve">were stopped </w:t>
      </w:r>
      <w:r>
        <w:rPr>
          <w:rFonts w:eastAsia="Times New Roman" w:cs="Times New Roman"/>
        </w:rPr>
        <w:t xml:space="preserve">due to the health emergency, </w:t>
      </w:r>
      <w:r w:rsidRPr="00C475EC">
        <w:rPr>
          <w:rFonts w:eastAsia="Times New Roman" w:cs="Times New Roman"/>
        </w:rPr>
        <w:t xml:space="preserve">but </w:t>
      </w:r>
      <w:r>
        <w:rPr>
          <w:rFonts w:eastAsia="Times New Roman" w:cs="Times New Roman"/>
        </w:rPr>
        <w:t xml:space="preserve">also </w:t>
      </w:r>
      <w:r w:rsidRPr="00C475EC">
        <w:rPr>
          <w:rFonts w:eastAsia="Times New Roman" w:cs="Times New Roman"/>
        </w:rPr>
        <w:t xml:space="preserve">because it is being held at a time of great </w:t>
      </w:r>
      <w:r>
        <w:rPr>
          <w:rFonts w:eastAsia="Times New Roman" w:cs="Times New Roman"/>
        </w:rPr>
        <w:t xml:space="preserve">recovery </w:t>
      </w:r>
      <w:r w:rsidRPr="00C475EC">
        <w:rPr>
          <w:rFonts w:eastAsia="Times New Roman" w:cs="Times New Roman"/>
        </w:rPr>
        <w:t>for the market.</w:t>
      </w:r>
    </w:p>
    <w:p w14:paraId="2FFFBC00" w14:textId="77777777" w:rsidR="002E6332" w:rsidRPr="00C475EC" w:rsidRDefault="002E6332" w:rsidP="002E6332">
      <w:pPr>
        <w:jc w:val="both"/>
      </w:pPr>
    </w:p>
    <w:p w14:paraId="2C3D0119" w14:textId="6DADB18A" w:rsidR="008553FB" w:rsidRPr="00AC7E73" w:rsidRDefault="003A5287" w:rsidP="00AC7E73">
      <w:pPr>
        <w:jc w:val="both"/>
        <w:rPr>
          <w:rFonts w:cs="Times New Roman"/>
          <w:b/>
          <w:i/>
          <w:lang w:val="it-IT"/>
        </w:rPr>
      </w:pPr>
      <w:r w:rsidRPr="003A5287">
        <w:rPr>
          <w:rFonts w:cs="Times New Roman"/>
          <w:b/>
          <w:lang w:val="it-IT"/>
        </w:rPr>
        <w:t xml:space="preserve">Rome, </w:t>
      </w:r>
      <w:r w:rsidR="004A7D3A">
        <w:rPr>
          <w:rFonts w:cs="Times New Roman"/>
          <w:b/>
          <w:lang w:val="it-IT"/>
        </w:rPr>
        <w:t xml:space="preserve">13 </w:t>
      </w:r>
      <w:r w:rsidR="002E6332">
        <w:rPr>
          <w:rFonts w:cs="Times New Roman"/>
          <w:b/>
          <w:lang w:val="it-IT"/>
        </w:rPr>
        <w:t xml:space="preserve">May </w:t>
      </w:r>
      <w:r w:rsidR="00A734CB">
        <w:rPr>
          <w:rFonts w:cs="Times New Roman"/>
          <w:b/>
          <w:lang w:val="it-IT"/>
        </w:rPr>
        <w:t>2021</w:t>
      </w:r>
    </w:p>
    <w:sectPr w:rsidR="008553FB" w:rsidRPr="00AC7E73" w:rsidSect="00D406B4">
      <w:headerReference w:type="default" r:id="rId6"/>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20961" w14:textId="77777777" w:rsidR="003A4630" w:rsidRDefault="003A4630">
      <w:r>
        <w:separator/>
      </w:r>
    </w:p>
  </w:endnote>
  <w:endnote w:type="continuationSeparator" w:id="0">
    <w:p w14:paraId="4F1FF4D1" w14:textId="77777777" w:rsidR="003A4630" w:rsidRDefault="003A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0DB55" w14:textId="77777777" w:rsidR="003A4630" w:rsidRDefault="003A4630">
      <w:r>
        <w:separator/>
      </w:r>
    </w:p>
  </w:footnote>
  <w:footnote w:type="continuationSeparator" w:id="0">
    <w:p w14:paraId="77D0A1C8" w14:textId="77777777" w:rsidR="003A4630" w:rsidRDefault="003A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0C26" w14:textId="03FD4B1C" w:rsidR="00F50302" w:rsidRDefault="00687D18">
    <w:pPr>
      <w:pStyle w:val="Header"/>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070EBFA0" wp14:editId="6183450F">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pic="http://schemas.openxmlformats.org/drawingml/2006/picture" xmlns:a14="http://schemas.microsoft.com/office/drawing/2010/main" xmlns:a="http://schemas.openxmlformats.org/drawingml/2006/main">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anmWztoAAAAHAQAADwAAAGRycy9kb3ducmV2LnhtbEyPQU/DMAyF70j8h8hI3Fg6hMZW&#10;mk4DMW5IMODuNqatSJzSZF3h1+NxgYvlp2c9f69YT96pkYbYBTYwn2WgiOtgO24MvL5sL5agYkK2&#10;6AKTgS+KsC5PTwrMbTjwM4271CgJ4ZijgTalPtc61i15jLPQE4v3HgaPSeTQaDvgQcK905dZttAe&#10;O5YPLfZ011L9sdt7Aw+4fbr//oxvrnJ6tbm+1Y+RRmPOz6bNDahEU/o7hiO+oEMpTFXYs43KGZAi&#10;6XcevfkqE13JtlheZaDLQv/nL38AAAD//wMAUEsBAi0AFAAGAAgAAAAhALaDOJL+AAAA4QEAABMA&#10;AAAAAAAAAAAAAAAAAAAAAFtDb250ZW50X1R5cGVzXS54bWxQSwECLQAUAAYACAAAACEAOP0h/9YA&#10;AACUAQAACwAAAAAAAAAAAAAAAAAvAQAAX3JlbHMvLnJlbHNQSwECLQAUAAYACAAAACEA1jBPeBIC&#10;AAAOBAAADgAAAAAAAAAAAAAAAAAuAgAAZHJzL2Uyb0RvYy54bWxQSwECLQAUAAYACAAAACEAanmW&#10;ztoAAAAHAQAADwAAAAAAAAAAAAAAAABsBAAAZHJzL2Rvd25yZXYueG1sUEsFBgAAAAAEAAQA8wAA&#10;AHMFAAAAAA==&#10;" arcsize="13107f" w14:anchorId="079B7C25">
              <v:stroke miterlimit="4" joinstyle="miter"/>
              <w10:wrap anchorx="page" anchory="page"/>
            </v:roundrect>
          </w:pict>
        </mc:Fallback>
      </mc:AlternateContent>
    </w:r>
    <w:r w:rsidR="00097B12">
      <w:rPr>
        <w:noProof/>
        <w:lang w:val="it-IT"/>
      </w:rPr>
      <w:drawing>
        <wp:anchor distT="152400" distB="152400" distL="152400" distR="152400" simplePos="0" relativeHeight="251659264" behindDoc="1" locked="0" layoutInCell="1" allowOverlap="1" wp14:anchorId="5BDA1DA3" wp14:editId="59AFDF1D">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4B0F40C3" wp14:editId="5D79B91F">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33461E4" w14:textId="77777777" w:rsidR="00F50302" w:rsidRDefault="009913A8">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pic="http://schemas.openxmlformats.org/drawingml/2006/picture" xmlns:a14="http://schemas.microsoft.com/office/drawing/2010/main" xmlns:a="http://schemas.openxmlformats.org/drawingml/2006/main">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AOH2uziAAAADQEAAA8A&#10;AABkcnMvZG93bnJldi54bWxMj0FLw0AQhe+C/2EZwYvY3SjRJmZTiqhgQYq14HWbjEk0Oxt2t2n6&#10;752e9PjefLx5r1hMthcj+tA50pDMFAikytUdNRq2H8/XcxAhGqpN7wg1HDHAojw/K0xeuwO947iJ&#10;jeAQCrnR0MY45FKGqkVrwswNSHz7ct6ayNI3svbmwOG2lzdK3UlrOuIPrRnwscXqZ7O3GtJOyfXo&#10;X96estXV9vvoh+Xn+lXry4tp+QAi4hT/YDjV5+pQcqed21MdRM9aZVnKrIa5SnjECUkyxft2bKW3&#10;9yDLQv5fUf4CAAD//wMAUEsBAi0AFAAGAAgAAAAhALaDOJL+AAAA4QEAABMAAAAAAAAAAAAAAAAA&#10;AAAAAFtDb250ZW50X1R5cGVzXS54bWxQSwECLQAUAAYACAAAACEAOP0h/9YAAACUAQAACwAAAAAA&#10;AAAAAAAAAAAvAQAAX3JlbHMvLnJlbHNQSwECLQAUAAYACAAAACEAt8gdJP4BAADqAwAADgAAAAAA&#10;AAAAAAAAAAAuAgAAZHJzL2Uyb0RvYy54bWxQSwECLQAUAAYACAAAACEAA4fa7OIAAAANAQAADwAA&#10;AAAAAAAAAAAAAABYBAAAZHJzL2Rvd25yZXYueG1sUEsFBgAAAAAEAAQA8wAAAGcFAAAAAA==&#10;" w14:anchorId="4B0F40C3">
              <v:stroke miterlimit="4"/>
              <v:textbox inset="3.6pt,,3.6pt">
                <w:txbxContent>
                  <w:p w:rsidR="00F50302" w:rsidRDefault="009913A8" w14:paraId="233461E4" w14:textId="77777777">
                    <w:pPr>
                      <w:pBdr>
                        <w:bottom w:val="single" w:color="000000" w:sz="4" w:space="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 xml:space="preserve">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6144"/>
    <w:rsid w:val="00042520"/>
    <w:rsid w:val="0004548F"/>
    <w:rsid w:val="00070D00"/>
    <w:rsid w:val="00082E65"/>
    <w:rsid w:val="000953A3"/>
    <w:rsid w:val="00097B12"/>
    <w:rsid w:val="000D42BD"/>
    <w:rsid w:val="000E2B2D"/>
    <w:rsid w:val="000E384C"/>
    <w:rsid w:val="000E71A7"/>
    <w:rsid w:val="000F4FAE"/>
    <w:rsid w:val="00120EB2"/>
    <w:rsid w:val="00124A76"/>
    <w:rsid w:val="00180463"/>
    <w:rsid w:val="0018354D"/>
    <w:rsid w:val="00185AFD"/>
    <w:rsid w:val="001B7564"/>
    <w:rsid w:val="001C2555"/>
    <w:rsid w:val="00200595"/>
    <w:rsid w:val="00203DE8"/>
    <w:rsid w:val="0022432E"/>
    <w:rsid w:val="00225312"/>
    <w:rsid w:val="00240AEB"/>
    <w:rsid w:val="002434A4"/>
    <w:rsid w:val="00256769"/>
    <w:rsid w:val="002A081C"/>
    <w:rsid w:val="002B0B49"/>
    <w:rsid w:val="002B7DDB"/>
    <w:rsid w:val="002E6332"/>
    <w:rsid w:val="00302C3C"/>
    <w:rsid w:val="003076AD"/>
    <w:rsid w:val="003241F7"/>
    <w:rsid w:val="00330ADB"/>
    <w:rsid w:val="00364712"/>
    <w:rsid w:val="00371FC4"/>
    <w:rsid w:val="00395CEF"/>
    <w:rsid w:val="003A4630"/>
    <w:rsid w:val="003A5287"/>
    <w:rsid w:val="003B358C"/>
    <w:rsid w:val="003B7D16"/>
    <w:rsid w:val="003F68D0"/>
    <w:rsid w:val="003F799E"/>
    <w:rsid w:val="00406182"/>
    <w:rsid w:val="00430CCA"/>
    <w:rsid w:val="004330CB"/>
    <w:rsid w:val="00477EB0"/>
    <w:rsid w:val="00486E84"/>
    <w:rsid w:val="004A7D3A"/>
    <w:rsid w:val="004F2C3D"/>
    <w:rsid w:val="004F7D4D"/>
    <w:rsid w:val="00512907"/>
    <w:rsid w:val="005363D1"/>
    <w:rsid w:val="005760BB"/>
    <w:rsid w:val="00593CD0"/>
    <w:rsid w:val="006063EA"/>
    <w:rsid w:val="00643058"/>
    <w:rsid w:val="00677CC8"/>
    <w:rsid w:val="006810E8"/>
    <w:rsid w:val="00682974"/>
    <w:rsid w:val="00687D18"/>
    <w:rsid w:val="006C0D12"/>
    <w:rsid w:val="006C65AF"/>
    <w:rsid w:val="006F420E"/>
    <w:rsid w:val="00744891"/>
    <w:rsid w:val="007609F5"/>
    <w:rsid w:val="00766BC5"/>
    <w:rsid w:val="007934AD"/>
    <w:rsid w:val="007A2D4F"/>
    <w:rsid w:val="007A598F"/>
    <w:rsid w:val="007D1863"/>
    <w:rsid w:val="007F6A29"/>
    <w:rsid w:val="0080183D"/>
    <w:rsid w:val="00803B1C"/>
    <w:rsid w:val="008553FB"/>
    <w:rsid w:val="008702DE"/>
    <w:rsid w:val="00892EB6"/>
    <w:rsid w:val="00893AAD"/>
    <w:rsid w:val="00896574"/>
    <w:rsid w:val="008C6C11"/>
    <w:rsid w:val="008D1A58"/>
    <w:rsid w:val="008F5AD0"/>
    <w:rsid w:val="009234B5"/>
    <w:rsid w:val="0093775C"/>
    <w:rsid w:val="009913A8"/>
    <w:rsid w:val="009C0A77"/>
    <w:rsid w:val="009C0F34"/>
    <w:rsid w:val="009C5EB0"/>
    <w:rsid w:val="00A16D14"/>
    <w:rsid w:val="00A20F14"/>
    <w:rsid w:val="00A440F2"/>
    <w:rsid w:val="00A546A9"/>
    <w:rsid w:val="00A734CB"/>
    <w:rsid w:val="00A96BE3"/>
    <w:rsid w:val="00AA2EFF"/>
    <w:rsid w:val="00AC7E73"/>
    <w:rsid w:val="00AF4ADF"/>
    <w:rsid w:val="00B032D7"/>
    <w:rsid w:val="00B21437"/>
    <w:rsid w:val="00B31A55"/>
    <w:rsid w:val="00B7296D"/>
    <w:rsid w:val="00BF68AC"/>
    <w:rsid w:val="00C03358"/>
    <w:rsid w:val="00C111DE"/>
    <w:rsid w:val="00C15314"/>
    <w:rsid w:val="00C216E3"/>
    <w:rsid w:val="00C3470B"/>
    <w:rsid w:val="00C44310"/>
    <w:rsid w:val="00C55AA2"/>
    <w:rsid w:val="00C60E0A"/>
    <w:rsid w:val="00C83B9F"/>
    <w:rsid w:val="00C93831"/>
    <w:rsid w:val="00D10F63"/>
    <w:rsid w:val="00D15837"/>
    <w:rsid w:val="00D16173"/>
    <w:rsid w:val="00D406B4"/>
    <w:rsid w:val="00D560A4"/>
    <w:rsid w:val="00D722A1"/>
    <w:rsid w:val="00DA2C69"/>
    <w:rsid w:val="00DB437C"/>
    <w:rsid w:val="00E1123F"/>
    <w:rsid w:val="00E2650D"/>
    <w:rsid w:val="00E273DF"/>
    <w:rsid w:val="00E50811"/>
    <w:rsid w:val="00E54329"/>
    <w:rsid w:val="00E7611F"/>
    <w:rsid w:val="00EC5741"/>
    <w:rsid w:val="00F1367E"/>
    <w:rsid w:val="00F46B54"/>
    <w:rsid w:val="00F50302"/>
    <w:rsid w:val="00F6621E"/>
    <w:rsid w:val="00F7014D"/>
    <w:rsid w:val="00F83103"/>
    <w:rsid w:val="00F96485"/>
    <w:rsid w:val="00FB6381"/>
    <w:rsid w:val="00FC7D77"/>
    <w:rsid w:val="00FD0F00"/>
    <w:rsid w:val="00FE2A97"/>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A98A9"/>
  <w15:docId w15:val="{5FB06125-584E-4488-A643-B71B7B2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table" w:styleId="TableGrid">
    <w:name w:val="Table Grid"/>
    <w:basedOn w:val="Table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rsid w:val="008553FB"/>
    <w:rPr>
      <w:rFonts w:ascii="Tahoma" w:hAnsi="Tahoma" w:cs="Tahoma"/>
      <w:color w:val="000000"/>
      <w:sz w:val="16"/>
      <w:szCs w:val="16"/>
      <w:u w:color="000000"/>
      <w:lang w:val="en-US"/>
    </w:rPr>
  </w:style>
  <w:style w:type="character" w:styleId="UnresolvedMention">
    <w:name w:val="Unresolved Mention"/>
    <w:basedOn w:val="DefaultParagraphFont"/>
    <w:uiPriority w:val="99"/>
    <w:semiHidden/>
    <w:unhideWhenUsed/>
    <w:rsid w:val="0080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458</Words>
  <Characters>2613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Robert C</cp:lastModifiedBy>
  <cp:revision>4</cp:revision>
  <cp:lastPrinted>2021-04-23T09:20:00Z</cp:lastPrinted>
  <dcterms:created xsi:type="dcterms:W3CDTF">2021-05-13T09:08:00Z</dcterms:created>
  <dcterms:modified xsi:type="dcterms:W3CDTF">2021-05-13T12:51:00Z</dcterms:modified>
</cp:coreProperties>
</file>